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7755"/>
        <w:gridCol w:w="720"/>
        <w:gridCol w:w="1080"/>
      </w:tblGrid>
      <w:tr w:rsidR="00A461B6" w:rsidTr="00723003">
        <w:trPr>
          <w:trHeight w:val="90"/>
          <w:jc w:val="center"/>
        </w:trPr>
        <w:tc>
          <w:tcPr>
            <w:tcW w:w="9555" w:type="dxa"/>
            <w:gridSpan w:val="3"/>
            <w:tcBorders>
              <w:top w:val="nil"/>
              <w:left w:val="nil"/>
              <w:bottom w:val="nil"/>
              <w:right w:val="nil"/>
            </w:tcBorders>
            <w:shd w:val="clear" w:color="FFFFFF" w:fill="auto"/>
            <w:vAlign w:val="center"/>
          </w:tcPr>
          <w:p w:rsidR="00A461B6" w:rsidRDefault="00A461B6" w:rsidP="00723003">
            <w:pPr>
              <w:widowControl/>
              <w:jc w:val="center"/>
              <w:rPr>
                <w:rFonts w:ascii="方正小标宋简体" w:eastAsia="方正小标宋简体" w:hAnsi="宋体" w:cs="宋体" w:hint="eastAsia"/>
                <w:color w:val="000000"/>
                <w:kern w:val="0"/>
                <w:sz w:val="44"/>
                <w:szCs w:val="44"/>
              </w:rPr>
            </w:pPr>
            <w:bookmarkStart w:id="0" w:name="_GoBack" w:colFirst="0" w:colLast="0"/>
            <w:r>
              <w:rPr>
                <w:rFonts w:ascii="方正小标宋简体" w:eastAsia="方正小标宋简体" w:hAnsi="宋体" w:cs="宋体" w:hint="eastAsia"/>
                <w:color w:val="000000"/>
                <w:kern w:val="0"/>
                <w:sz w:val="44"/>
                <w:szCs w:val="44"/>
              </w:rPr>
              <w:t>政府信息公开情况统计表</w:t>
            </w:r>
          </w:p>
        </w:tc>
      </w:tr>
      <w:tr w:rsidR="00A461B6" w:rsidTr="00723003">
        <w:trPr>
          <w:trHeight w:val="285"/>
          <w:jc w:val="center"/>
        </w:trPr>
        <w:tc>
          <w:tcPr>
            <w:tcW w:w="9555" w:type="dxa"/>
            <w:gridSpan w:val="3"/>
            <w:tcBorders>
              <w:top w:val="nil"/>
              <w:left w:val="nil"/>
              <w:bottom w:val="nil"/>
              <w:right w:val="nil"/>
            </w:tcBorders>
            <w:shd w:val="clear" w:color="FFFFFF" w:fill="auto"/>
            <w:vAlign w:val="center"/>
          </w:tcPr>
          <w:p w:rsidR="00A461B6" w:rsidRDefault="00A461B6" w:rsidP="00723003">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 2016 年度）</w:t>
            </w:r>
          </w:p>
        </w:tc>
      </w:tr>
      <w:bookmarkEnd w:id="0"/>
      <w:tr w:rsidR="00A461B6" w:rsidTr="00723003">
        <w:trPr>
          <w:trHeight w:val="405"/>
          <w:jc w:val="center"/>
        </w:trPr>
        <w:tc>
          <w:tcPr>
            <w:tcW w:w="7755" w:type="dxa"/>
            <w:tcBorders>
              <w:top w:val="nil"/>
              <w:left w:val="nil"/>
              <w:bottom w:val="nil"/>
              <w:right w:val="nil"/>
            </w:tcBorders>
            <w:shd w:val="clear" w:color="FFFFFF" w:fill="auto"/>
            <w:vAlign w:val="center"/>
          </w:tcPr>
          <w:p w:rsidR="00A461B6" w:rsidRDefault="00A461B6" w:rsidP="00723003">
            <w:pPr>
              <w:widowControl/>
              <w:jc w:val="left"/>
              <w:rPr>
                <w:rFonts w:ascii="宋体" w:hAnsi="宋体" w:cs="宋体"/>
                <w:color w:val="000000"/>
                <w:kern w:val="0"/>
                <w:sz w:val="22"/>
              </w:rPr>
            </w:pPr>
          </w:p>
        </w:tc>
        <w:tc>
          <w:tcPr>
            <w:tcW w:w="720" w:type="dxa"/>
            <w:tcBorders>
              <w:top w:val="nil"/>
              <w:left w:val="nil"/>
              <w:bottom w:val="nil"/>
              <w:right w:val="nil"/>
            </w:tcBorders>
            <w:shd w:val="clear" w:color="FFFFFF" w:fill="auto"/>
            <w:vAlign w:val="center"/>
          </w:tcPr>
          <w:p w:rsidR="00A461B6" w:rsidRDefault="00A461B6" w:rsidP="00723003">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rsidR="00A461B6" w:rsidRDefault="00A461B6" w:rsidP="00723003">
            <w:pPr>
              <w:widowControl/>
              <w:jc w:val="left"/>
              <w:rPr>
                <w:rFonts w:ascii="宋体" w:hAnsi="宋体" w:cs="宋体"/>
                <w:color w:val="000000"/>
                <w:kern w:val="0"/>
                <w:sz w:val="22"/>
              </w:rPr>
            </w:pPr>
          </w:p>
        </w:tc>
      </w:tr>
      <w:tr w:rsidR="00A461B6" w:rsidTr="00723003">
        <w:trPr>
          <w:trHeight w:val="300"/>
          <w:jc w:val="center"/>
        </w:trPr>
        <w:tc>
          <w:tcPr>
            <w:tcW w:w="7755" w:type="dxa"/>
            <w:tcBorders>
              <w:top w:val="nil"/>
              <w:left w:val="nil"/>
              <w:bottom w:val="single" w:sz="8" w:space="0" w:color="auto"/>
              <w:right w:val="nil"/>
            </w:tcBorders>
            <w:shd w:val="clear" w:color="FFFFFF" w:fill="auto"/>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填报单位（盖章）：市经济信息化委</w:t>
            </w:r>
          </w:p>
        </w:tc>
        <w:tc>
          <w:tcPr>
            <w:tcW w:w="720" w:type="dxa"/>
            <w:tcBorders>
              <w:top w:val="nil"/>
              <w:left w:val="nil"/>
              <w:bottom w:val="single" w:sz="8" w:space="0" w:color="auto"/>
              <w:right w:val="nil"/>
            </w:tcBorders>
            <w:shd w:val="clear" w:color="FFFFFF" w:fill="auto"/>
            <w:vAlign w:val="center"/>
          </w:tcPr>
          <w:p w:rsidR="00A461B6" w:rsidRDefault="00A461B6" w:rsidP="0072300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vAlign w:val="center"/>
          </w:tcPr>
          <w:p w:rsidR="00A461B6" w:rsidRDefault="00A461B6" w:rsidP="0072300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A461B6" w:rsidTr="00723003">
        <w:trPr>
          <w:trHeight w:val="402"/>
          <w:jc w:val="center"/>
        </w:trPr>
        <w:tc>
          <w:tcPr>
            <w:tcW w:w="7755" w:type="dxa"/>
            <w:tcBorders>
              <w:top w:val="single" w:sz="8" w:space="0" w:color="auto"/>
              <w:left w:val="single" w:sz="8" w:space="0" w:color="auto"/>
              <w:bottom w:val="single" w:sz="4" w:space="0" w:color="auto"/>
              <w:right w:val="single" w:sz="4" w:space="0" w:color="auto"/>
            </w:tcBorders>
            <w:vAlign w:val="center"/>
          </w:tcPr>
          <w:p w:rsidR="00A461B6" w:rsidRDefault="00A461B6" w:rsidP="00723003">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vAlign w:val="center"/>
          </w:tcPr>
          <w:p w:rsidR="00A461B6" w:rsidRDefault="00A461B6" w:rsidP="00723003">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vAlign w:val="center"/>
          </w:tcPr>
          <w:p w:rsidR="00A461B6" w:rsidRDefault="00A461B6" w:rsidP="00723003">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p>
        </w:tc>
      </w:tr>
      <w:tr w:rsidR="00A461B6" w:rsidTr="00723003">
        <w:trPr>
          <w:trHeight w:val="660"/>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（一）主动公开政府信息数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3105</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7</w:t>
            </w:r>
          </w:p>
        </w:tc>
      </w:tr>
      <w:tr w:rsidR="00A461B6" w:rsidTr="00723003">
        <w:trPr>
          <w:trHeight w:val="402"/>
          <w:jc w:val="center"/>
        </w:trPr>
        <w:tc>
          <w:tcPr>
            <w:tcW w:w="7755" w:type="dxa"/>
            <w:tcBorders>
              <w:top w:val="nil"/>
              <w:left w:val="single" w:sz="8" w:space="0" w:color="auto"/>
              <w:bottom w:val="nil"/>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7</w:t>
            </w:r>
          </w:p>
        </w:tc>
      </w:tr>
      <w:tr w:rsidR="00A461B6" w:rsidTr="00723003">
        <w:trPr>
          <w:trHeight w:val="660"/>
          <w:jc w:val="center"/>
        </w:trPr>
        <w:tc>
          <w:tcPr>
            <w:tcW w:w="7755" w:type="dxa"/>
            <w:tcBorders>
              <w:top w:val="single" w:sz="4" w:space="0" w:color="auto"/>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（二）重点领域公开政府信息数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A461B6" w:rsidTr="00723003">
        <w:trPr>
          <w:trHeight w:val="600"/>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其中：主动公开财政预算决算、“三公经费”和行政经费信息数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461B6" w:rsidTr="00723003">
        <w:trPr>
          <w:trHeight w:val="64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570"/>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58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780"/>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55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90"/>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720"/>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52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58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主动公开政府部门预算执行审计结果等信息数</w:t>
            </w:r>
          </w:p>
        </w:tc>
        <w:tc>
          <w:tcPr>
            <w:tcW w:w="720" w:type="dxa"/>
            <w:tcBorders>
              <w:top w:val="nil"/>
              <w:left w:val="single" w:sz="4" w:space="0" w:color="auto"/>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67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主动公开行政机关对与人民群众利益密切相关的公共企事业单位进行监督管理的信息数</w:t>
            </w:r>
          </w:p>
        </w:tc>
        <w:tc>
          <w:tcPr>
            <w:tcW w:w="720" w:type="dxa"/>
            <w:tcBorders>
              <w:top w:val="nil"/>
              <w:left w:val="single" w:sz="4" w:space="0" w:color="auto"/>
              <w:bottom w:val="single" w:sz="8"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5"/>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1.政府公报公开政府信息数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2.政府网站公开政府信息数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2947</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3.政务</w:t>
            </w:r>
            <w:proofErr w:type="gramStart"/>
            <w:r>
              <w:rPr>
                <w:rFonts w:ascii="仿宋_GB2312" w:eastAsia="仿宋_GB2312" w:hAnsi="宋体" w:cs="宋体" w:hint="eastAsia"/>
                <w:kern w:val="0"/>
                <w:sz w:val="24"/>
              </w:rPr>
              <w:t>微博公开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867</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政务微信公开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268</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334</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p>
        </w:tc>
      </w:tr>
      <w:tr w:rsidR="00A461B6" w:rsidTr="00723003">
        <w:trPr>
          <w:trHeight w:val="660"/>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（一）回应公众关注热点或重大舆情数</w:t>
            </w:r>
            <w:r>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19</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39</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12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310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微博微信回应</w:t>
            </w:r>
            <w:proofErr w:type="gramEnd"/>
            <w:r>
              <w:rPr>
                <w:rFonts w:ascii="仿宋_GB2312" w:eastAsia="仿宋_GB2312" w:hAnsi="宋体" w:cs="宋体" w:hint="eastAsia"/>
                <w:kern w:val="0"/>
                <w:sz w:val="24"/>
              </w:rPr>
              <w:t>事件数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24</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6</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28</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24</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（二）申请</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28</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1.按时</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26</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2.延期</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28</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4</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不是《条例》所指政府信息</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14</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eastAsia="宋体" w:hAnsi="宋体" w:cs="宋体" w:hint="eastAsia"/>
                <w:color w:val="000000"/>
                <w:kern w:val="0"/>
                <w:sz w:val="24"/>
              </w:rPr>
            </w:pPr>
            <w:r>
              <w:rPr>
                <w:rFonts w:ascii="宋体" w:hAnsi="宋体" w:cs="宋体" w:hint="eastAsia"/>
                <w:color w:val="000000"/>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A461B6" w:rsidTr="00723003">
        <w:trPr>
          <w:trHeight w:val="660"/>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vAlign w:val="center"/>
          </w:tcPr>
          <w:p w:rsidR="00A461B6" w:rsidRDefault="00A461B6" w:rsidP="00723003">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宋体" w:hAnsi="宋体" w:cs="宋体"/>
                <w:color w:val="000000"/>
                <w:kern w:val="0"/>
                <w:sz w:val="24"/>
              </w:rPr>
            </w:pP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（一）召开政府信息公开工作会议或专题会议数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461B6" w:rsidTr="00723003">
        <w:trPr>
          <w:trHeight w:val="402"/>
          <w:jc w:val="center"/>
        </w:trPr>
        <w:tc>
          <w:tcPr>
            <w:tcW w:w="7755" w:type="dxa"/>
            <w:tcBorders>
              <w:top w:val="nil"/>
              <w:left w:val="single" w:sz="8" w:space="0" w:color="auto"/>
              <w:bottom w:val="single" w:sz="4"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A461B6" w:rsidTr="00723003">
        <w:trPr>
          <w:trHeight w:val="402"/>
          <w:jc w:val="center"/>
        </w:trPr>
        <w:tc>
          <w:tcPr>
            <w:tcW w:w="7755" w:type="dxa"/>
            <w:tcBorders>
              <w:top w:val="nil"/>
              <w:left w:val="single" w:sz="8" w:space="0" w:color="auto"/>
              <w:bottom w:val="single" w:sz="8" w:space="0" w:color="auto"/>
              <w:right w:val="single" w:sz="4" w:space="0" w:color="auto"/>
            </w:tcBorders>
            <w:vAlign w:val="center"/>
          </w:tcPr>
          <w:p w:rsidR="00A461B6" w:rsidRDefault="00A461B6" w:rsidP="00723003">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vAlign w:val="center"/>
          </w:tcPr>
          <w:p w:rsidR="00A461B6" w:rsidRDefault="00A461B6" w:rsidP="00723003">
            <w:pPr>
              <w:widowControl/>
              <w:jc w:val="center"/>
              <w:rPr>
                <w:rFonts w:ascii="仿宋_GB2312" w:eastAsia="仿宋_GB2312" w:hAnsi="宋体" w:cs="宋体"/>
                <w:kern w:val="0"/>
                <w:sz w:val="24"/>
              </w:rPr>
            </w:pPr>
            <w:r>
              <w:rPr>
                <w:rFonts w:ascii="仿宋_GB2312" w:eastAsia="仿宋_GB2312" w:hAnsi="宋体" w:cs="宋体" w:hint="eastAsia"/>
                <w:kern w:val="0"/>
                <w:sz w:val="24"/>
              </w:rPr>
              <w:t>61</w:t>
            </w:r>
          </w:p>
        </w:tc>
      </w:tr>
    </w:tbl>
    <w:p w:rsidR="00A461B6" w:rsidRDefault="00A461B6" w:rsidP="00A461B6">
      <w:pPr>
        <w:widowControl/>
        <w:spacing w:line="560" w:lineRule="exact"/>
        <w:rPr>
          <w:rFonts w:ascii="仿宋_GB2312" w:eastAsia="仿宋_GB2312" w:hAnsi="仿宋_GB2312" w:cs="仿宋_GB2312" w:hint="eastAsia"/>
          <w:kern w:val="0"/>
          <w:sz w:val="32"/>
          <w:szCs w:val="32"/>
        </w:rPr>
      </w:pPr>
    </w:p>
    <w:p w:rsidR="001773EB" w:rsidRDefault="001773EB"/>
    <w:sectPr w:rsidR="001773E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B6"/>
    <w:rsid w:val="001773EB"/>
    <w:rsid w:val="00A46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423EC-4893-438C-B393-154BF287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461B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xi</dc:creator>
  <cp:keywords/>
  <dc:description/>
  <cp:lastModifiedBy>ren xi</cp:lastModifiedBy>
  <cp:revision>1</cp:revision>
  <dcterms:created xsi:type="dcterms:W3CDTF">2019-12-01T11:49:00Z</dcterms:created>
  <dcterms:modified xsi:type="dcterms:W3CDTF">2019-12-01T11:49:00Z</dcterms:modified>
</cp:coreProperties>
</file>