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00" w:line="560" w:lineRule="exact"/>
        <w:jc w:val="center"/>
        <w:rPr>
          <w:rFonts w:ascii="Times New Roman Regular" w:hAnsi="Times New Roman Regular" w:eastAsia="方正小标宋简体" w:cs="Times New Roman Regular"/>
          <w:sz w:val="44"/>
          <w:szCs w:val="44"/>
        </w:rPr>
      </w:pPr>
    </w:p>
    <w:p>
      <w:pPr>
        <w:spacing w:after="200" w:line="560" w:lineRule="exact"/>
        <w:jc w:val="center"/>
        <w:rPr>
          <w:rFonts w:ascii="Times New Roman Regular" w:hAnsi="Times New Roman Regular" w:eastAsia="方正小标宋简体" w:cs="Times New Roman Regular"/>
          <w:sz w:val="44"/>
          <w:szCs w:val="44"/>
        </w:rPr>
      </w:pPr>
    </w:p>
    <w:p>
      <w:pPr>
        <w:spacing w:after="200" w:line="560" w:lineRule="exact"/>
        <w:jc w:val="center"/>
        <w:rPr>
          <w:rFonts w:ascii="Times New Roman Regular" w:hAnsi="Times New Roman Regular" w:eastAsia="方正小标宋简体" w:cs="Times New Roman Regular"/>
          <w:sz w:val="44"/>
          <w:szCs w:val="44"/>
        </w:rPr>
      </w:pPr>
    </w:p>
    <w:p>
      <w:pPr>
        <w:spacing w:after="200" w:line="560" w:lineRule="exact"/>
        <w:jc w:val="center"/>
        <w:rPr>
          <w:rFonts w:ascii="Times New Roman Regular" w:hAnsi="Times New Roman Regular" w:eastAsia="方正小标宋简体" w:cs="Times New Roman Regular"/>
          <w:sz w:val="44"/>
          <w:szCs w:val="44"/>
        </w:rPr>
      </w:pPr>
      <w:r>
        <w:rPr>
          <w:rFonts w:ascii="Times New Roman Regular" w:hAnsi="Times New Roman Regular" w:eastAsia="方正小标宋简体" w:cs="Times New Roman Regular"/>
          <w:sz w:val="44"/>
          <w:szCs w:val="44"/>
        </w:rPr>
        <w:t>北京市经济和信息化局202</w:t>
      </w:r>
      <w:r>
        <w:rPr>
          <w:rFonts w:hint="eastAsia" w:ascii="Times New Roman Regular" w:hAnsi="Times New Roman Regular" w:eastAsia="方正小标宋简体" w:cs="Times New Roman Regular"/>
          <w:sz w:val="44"/>
          <w:szCs w:val="44"/>
        </w:rPr>
        <w:t>4</w:t>
      </w:r>
      <w:r>
        <w:rPr>
          <w:rFonts w:ascii="Times New Roman Regular" w:hAnsi="Times New Roman Regular" w:eastAsia="方正小标宋简体" w:cs="Times New Roman Regular"/>
          <w:sz w:val="44"/>
          <w:szCs w:val="44"/>
        </w:rPr>
        <w:t>年度</w:t>
      </w:r>
    </w:p>
    <w:p>
      <w:pPr>
        <w:spacing w:after="200" w:line="560" w:lineRule="exact"/>
        <w:jc w:val="center"/>
        <w:rPr>
          <w:rFonts w:ascii="Times New Roman Regular" w:hAnsi="Times New Roman Regular" w:eastAsia="方正小标宋简体" w:cs="Times New Roman Regular"/>
          <w:sz w:val="44"/>
          <w:szCs w:val="44"/>
        </w:rPr>
      </w:pPr>
      <w:r>
        <w:rPr>
          <w:rFonts w:ascii="Times New Roman Regular" w:hAnsi="Times New Roman Regular" w:eastAsia="方正小标宋简体" w:cs="Times New Roman Regular"/>
          <w:sz w:val="44"/>
          <w:szCs w:val="44"/>
        </w:rPr>
        <w:t>部门整体绩效评价报告</w:t>
      </w: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方正小标宋简体" w:cs="Times New Roman Regular"/>
          <w:sz w:val="52"/>
          <w:szCs w:val="52"/>
        </w:rPr>
      </w:pPr>
    </w:p>
    <w:p>
      <w:pPr>
        <w:spacing w:after="200" w:line="560" w:lineRule="exact"/>
        <w:jc w:val="center"/>
        <w:rPr>
          <w:rFonts w:ascii="Times New Roman Regular" w:hAnsi="Times New Roman Regular" w:eastAsia="仿宋" w:cs="Times New Roman Regular"/>
          <w:b/>
          <w:bCs/>
          <w:sz w:val="32"/>
          <w:szCs w:val="32"/>
        </w:rPr>
      </w:pPr>
      <w:r>
        <w:rPr>
          <w:rFonts w:ascii="Times New Roman Regular" w:hAnsi="Times New Roman Regular" w:eastAsia="仿宋" w:cs="Times New Roman Regular"/>
          <w:b/>
          <w:bCs/>
          <w:sz w:val="32"/>
          <w:szCs w:val="32"/>
        </w:rPr>
        <w:t>二〇二</w:t>
      </w:r>
      <w:r>
        <w:rPr>
          <w:rFonts w:hint="eastAsia" w:ascii="Times New Roman Regular" w:hAnsi="Times New Roman Regular" w:eastAsia="仿宋" w:cs="Times New Roman Regular"/>
          <w:b/>
          <w:bCs/>
          <w:sz w:val="32"/>
          <w:szCs w:val="32"/>
        </w:rPr>
        <w:t>五</w:t>
      </w:r>
      <w:r>
        <w:rPr>
          <w:rFonts w:ascii="Times New Roman Regular" w:hAnsi="Times New Roman Regular" w:eastAsia="仿宋" w:cs="Times New Roman Regular"/>
          <w:b/>
          <w:bCs/>
          <w:sz w:val="32"/>
          <w:szCs w:val="32"/>
        </w:rPr>
        <w:t>年</w:t>
      </w:r>
      <w:r>
        <w:rPr>
          <w:rFonts w:hint="eastAsia" w:ascii="Times New Roman Regular" w:hAnsi="Times New Roman Regular" w:eastAsia="仿宋" w:cs="Times New Roman Regular"/>
          <w:b/>
          <w:bCs/>
          <w:sz w:val="32"/>
          <w:szCs w:val="32"/>
        </w:rPr>
        <w:t>五</w:t>
      </w:r>
      <w:r>
        <w:rPr>
          <w:rFonts w:ascii="Times New Roman Regular" w:hAnsi="Times New Roman Regular" w:eastAsia="仿宋" w:cs="Times New Roman Regular"/>
          <w:b/>
          <w:bCs/>
          <w:sz w:val="32"/>
          <w:szCs w:val="32"/>
        </w:rPr>
        <w:t>月</w:t>
      </w:r>
    </w:p>
    <w:p>
      <w:pPr>
        <w:jc w:val="left"/>
        <w:rPr>
          <w:rFonts w:ascii="Times New Roman Regular" w:hAnsi="Times New Roman Regular" w:cs="Times New Roman Regular"/>
          <w:b/>
          <w:bCs/>
        </w:rPr>
      </w:pPr>
      <w:r>
        <w:rPr>
          <w:rFonts w:ascii="Times New Roman Regular" w:hAnsi="Times New Roman Regular" w:cs="Times New Roman Regular"/>
          <w:b/>
          <w:bCs/>
        </w:rPr>
        <w:br w:type="page"/>
      </w:r>
    </w:p>
    <w:sdt>
      <w:sdtPr>
        <w:rPr>
          <w:rFonts w:hint="eastAsia" w:ascii="Times New Roman Regular" w:hAnsi="Times New Roman Regular" w:eastAsia="方正小标宋简体" w:cs="Times New Roman Regular"/>
          <w:sz w:val="36"/>
          <w:szCs w:val="36"/>
        </w:rPr>
        <w:id w:val="147472902"/>
        <w15:color w:val="DBDBDB"/>
        <w:docPartObj>
          <w:docPartGallery w:val="Table of Contents"/>
          <w:docPartUnique/>
        </w:docPartObj>
      </w:sdtPr>
      <w:sdtEndPr>
        <w:rPr>
          <w:rFonts w:hint="default" w:ascii="Times New Roman Regular" w:hAnsi="Times New Roman Regular" w:eastAsia="宋体" w:cs="Times New Roman Regular"/>
          <w:bCs/>
          <w:sz w:val="21"/>
          <w:szCs w:val="22"/>
        </w:rPr>
      </w:sdtEndPr>
      <w:sdtContent>
        <w:p>
          <w:pPr>
            <w:spacing w:after="200" w:line="560" w:lineRule="exact"/>
            <w:jc w:val="center"/>
            <w:rPr>
              <w:rFonts w:ascii="Times New Roman Regular" w:hAnsi="Times New Roman Regular" w:eastAsia="方正小标宋简体" w:cs="Times New Roman Regular"/>
              <w:sz w:val="36"/>
              <w:szCs w:val="36"/>
            </w:rPr>
          </w:pPr>
          <w:r>
            <w:rPr>
              <w:rFonts w:hint="eastAsia" w:ascii="Times New Roman Regular" w:hAnsi="Times New Roman Regular" w:eastAsia="方正小标宋简体" w:cs="Times New Roman Regular"/>
              <w:sz w:val="36"/>
              <w:szCs w:val="36"/>
            </w:rPr>
            <w:t>目  录</w:t>
          </w:r>
        </w:p>
        <w:p>
          <w:pPr>
            <w:pStyle w:val="22"/>
            <w:tabs>
              <w:tab w:val="right" w:leader="dot" w:pos="8845"/>
            </w:tabs>
            <w:spacing w:before="0"/>
            <w:rPr>
              <w:rFonts w:ascii="Times New Roman" w:hAnsi="Times New Roman" w:eastAsia="黑体"/>
              <w:sz w:val="32"/>
              <w:szCs w:val="32"/>
            </w:rPr>
          </w:pPr>
          <w:r>
            <w:rPr>
              <w:rFonts w:ascii="Times New Roman Regular" w:hAnsi="Times New Roman Regular" w:cs="Times New Roman Regular"/>
            </w:rPr>
            <w:fldChar w:fldCharType="begin"/>
          </w:r>
          <w:r>
            <w:rPr>
              <w:rFonts w:ascii="Times New Roman Regular" w:hAnsi="Times New Roman Regular" w:cs="Times New Roman Regular"/>
            </w:rPr>
            <w:instrText xml:space="preserve">TOC \o "1-2" \h \u </w:instrText>
          </w:r>
          <w:r>
            <w:rPr>
              <w:rFonts w:ascii="Times New Roman Regular" w:hAnsi="Times New Roman Regular" w:cs="Times New Roman Regular"/>
            </w:rPr>
            <w:fldChar w:fldCharType="separate"/>
          </w:r>
          <w:r>
            <w:fldChar w:fldCharType="begin"/>
          </w:r>
          <w:r>
            <w:instrText xml:space="preserve"> HYPERLINK \l "_Toc17853" </w:instrText>
          </w:r>
          <w:r>
            <w:fldChar w:fldCharType="separate"/>
          </w:r>
          <w:r>
            <w:rPr>
              <w:rFonts w:ascii="Times New Roman" w:hAnsi="Times New Roman" w:eastAsia="黑体"/>
              <w:b w:val="0"/>
              <w:bCs w:val="0"/>
              <w:caps w:val="0"/>
              <w:w w:val="100"/>
              <w:kern w:val="0"/>
              <w:sz w:val="32"/>
              <w:szCs w:val="32"/>
              <w:u w:val="single"/>
            </w:rPr>
            <w:t>一、部门概况</w:t>
          </w:r>
          <w:r>
            <w:rPr>
              <w:rFonts w:ascii="Times New Roman" w:hAnsi="Times New Roman" w:eastAsia="黑体"/>
              <w:b w:val="0"/>
              <w:bCs w:val="0"/>
              <w:caps w:val="0"/>
              <w:w w:val="100"/>
              <w:kern w:val="0"/>
              <w:sz w:val="32"/>
              <w:szCs w:val="32"/>
              <w:u w:val="single"/>
            </w:rPr>
            <w:tab/>
          </w:r>
          <w:r>
            <w:rPr>
              <w:rFonts w:ascii="Times New Roman" w:hAnsi="Times New Roman" w:eastAsia="黑体"/>
              <w:b w:val="0"/>
              <w:bCs w:val="0"/>
              <w:caps w:val="0"/>
              <w:w w:val="100"/>
              <w:kern w:val="0"/>
              <w:sz w:val="32"/>
              <w:szCs w:val="32"/>
              <w:u w:val="single"/>
            </w:rPr>
            <w:fldChar w:fldCharType="begin"/>
          </w:r>
          <w:r>
            <w:rPr>
              <w:rFonts w:ascii="Times New Roman" w:hAnsi="Times New Roman" w:eastAsia="黑体"/>
              <w:b w:val="0"/>
              <w:bCs w:val="0"/>
              <w:caps w:val="0"/>
              <w:w w:val="100"/>
              <w:kern w:val="0"/>
              <w:sz w:val="32"/>
              <w:szCs w:val="32"/>
              <w:u w:val="single"/>
            </w:rPr>
            <w:instrText xml:space="preserve"> PAGEREF _Toc17853 \h </w:instrText>
          </w:r>
          <w:r>
            <w:rPr>
              <w:rFonts w:ascii="Times New Roman" w:hAnsi="Times New Roman" w:eastAsia="黑体"/>
              <w:b w:val="0"/>
              <w:bCs w:val="0"/>
              <w:caps w:val="0"/>
              <w:w w:val="100"/>
              <w:kern w:val="0"/>
              <w:sz w:val="32"/>
              <w:szCs w:val="32"/>
              <w:u w:val="single"/>
            </w:rPr>
            <w:fldChar w:fldCharType="separate"/>
          </w:r>
          <w:r>
            <w:rPr>
              <w:rFonts w:ascii="Times New Roman" w:hAnsi="Times New Roman" w:eastAsia="黑体"/>
              <w:b w:val="0"/>
              <w:bCs w:val="0"/>
              <w:caps w:val="0"/>
              <w:w w:val="100"/>
              <w:kern w:val="0"/>
              <w:sz w:val="32"/>
              <w:szCs w:val="32"/>
              <w:u w:val="single"/>
            </w:rPr>
            <w:t>1</w:t>
          </w:r>
          <w:r>
            <w:rPr>
              <w:rFonts w:ascii="Times New Roman" w:hAnsi="Times New Roman" w:eastAsia="黑体"/>
              <w:b w:val="0"/>
              <w:bCs w:val="0"/>
              <w:caps w:val="0"/>
              <w:w w:val="100"/>
              <w:kern w:val="0"/>
              <w:sz w:val="32"/>
              <w:szCs w:val="32"/>
              <w:u w:val="single"/>
            </w:rPr>
            <w:fldChar w:fldCharType="end"/>
          </w:r>
          <w:r>
            <w:rPr>
              <w:rFonts w:ascii="Times New Roman" w:hAnsi="Times New Roman" w:eastAsia="黑体"/>
              <w:b w:val="0"/>
              <w:bCs w:val="0"/>
              <w:caps w:val="0"/>
              <w:w w:val="100"/>
              <w:kern w:val="0"/>
              <w:sz w:val="32"/>
              <w:szCs w:val="32"/>
              <w:u w:val="single"/>
            </w:rPr>
            <w:fldChar w:fldCharType="end"/>
          </w:r>
        </w:p>
        <w:p>
          <w:pPr>
            <w:pStyle w:val="24"/>
            <w:tabs>
              <w:tab w:val="right" w:leader="dot" w:pos="8845"/>
              <w:tab w:val="clear" w:pos="8680"/>
            </w:tabs>
            <w:rPr>
              <w:rFonts w:ascii="Times New Roman" w:hAnsi="Times New Roman" w:eastAsia="楷体" w:cs="Times New Roman"/>
            </w:rPr>
          </w:pPr>
          <w:r>
            <w:fldChar w:fldCharType="begin"/>
          </w:r>
          <w:r>
            <w:instrText xml:space="preserve"> HYPERLINK \l "_Toc13958" </w:instrText>
          </w:r>
          <w:r>
            <w:fldChar w:fldCharType="separate"/>
          </w:r>
          <w:r>
            <w:rPr>
              <w:rFonts w:ascii="Times New Roman" w:hAnsi="Times New Roman" w:eastAsia="楷体" w:cs="Times New Roman"/>
            </w:rPr>
            <w:t>（一）机构设置及职责工作任务情况</w:t>
          </w:r>
          <w:r>
            <w:rPr>
              <w:rFonts w:ascii="Times New Roman" w:hAnsi="Times New Roman" w:eastAsia="楷体" w:cs="Times New Roman"/>
            </w:rPr>
            <w:tab/>
          </w:r>
          <w:r>
            <w:rPr>
              <w:rFonts w:ascii="Times New Roman" w:hAnsi="Times New Roman" w:eastAsia="楷体" w:cs="Times New Roman"/>
            </w:rPr>
            <w:fldChar w:fldCharType="begin"/>
          </w:r>
          <w:r>
            <w:rPr>
              <w:rFonts w:ascii="Times New Roman" w:hAnsi="Times New Roman" w:eastAsia="楷体" w:cs="Times New Roman"/>
            </w:rPr>
            <w:instrText xml:space="preserve"> PAGEREF _Toc13958 \h </w:instrText>
          </w:r>
          <w:r>
            <w:rPr>
              <w:rFonts w:ascii="Times New Roman" w:hAnsi="Times New Roman" w:eastAsia="楷体" w:cs="Times New Roman"/>
            </w:rPr>
            <w:fldChar w:fldCharType="separate"/>
          </w:r>
          <w:r>
            <w:rPr>
              <w:rFonts w:ascii="Times New Roman" w:hAnsi="Times New Roman" w:eastAsia="楷体" w:cs="Times New Roman"/>
            </w:rPr>
            <w:t>1</w:t>
          </w:r>
          <w:r>
            <w:rPr>
              <w:rFonts w:ascii="Times New Roman" w:hAnsi="Times New Roman" w:eastAsia="楷体" w:cs="Times New Roman"/>
            </w:rPr>
            <w:fldChar w:fldCharType="end"/>
          </w:r>
          <w:r>
            <w:rPr>
              <w:rFonts w:ascii="Times New Roman" w:hAnsi="Times New Roman" w:eastAsia="楷体" w:cs="Times New Roman"/>
            </w:rPr>
            <w:fldChar w:fldCharType="end"/>
          </w:r>
        </w:p>
        <w:p>
          <w:pPr>
            <w:pStyle w:val="24"/>
            <w:tabs>
              <w:tab w:val="right" w:leader="dot" w:pos="8845"/>
              <w:tab w:val="clear" w:pos="8680"/>
            </w:tabs>
            <w:rPr>
              <w:rFonts w:ascii="Times New Roman" w:hAnsi="Times New Roman" w:cs="Times New Roman"/>
            </w:rPr>
          </w:pPr>
          <w:r>
            <w:fldChar w:fldCharType="begin"/>
          </w:r>
          <w:r>
            <w:instrText xml:space="preserve"> HYPERLINK \l "_Toc14141" </w:instrText>
          </w:r>
          <w:r>
            <w:fldChar w:fldCharType="separate"/>
          </w:r>
          <w:r>
            <w:rPr>
              <w:rFonts w:ascii="Times New Roman" w:hAnsi="Times New Roman" w:eastAsia="楷体" w:cs="Times New Roman"/>
            </w:rPr>
            <w:t>（二）部门整体绩效目标设立情况</w:t>
          </w:r>
          <w:r>
            <w:rPr>
              <w:rFonts w:ascii="Times New Roman" w:hAnsi="Times New Roman" w:eastAsia="楷体" w:cs="Times New Roman"/>
            </w:rPr>
            <w:tab/>
          </w:r>
          <w:r>
            <w:rPr>
              <w:rFonts w:ascii="Times New Roman" w:hAnsi="Times New Roman" w:eastAsia="楷体" w:cs="Times New Roman"/>
            </w:rPr>
            <w:fldChar w:fldCharType="begin"/>
          </w:r>
          <w:r>
            <w:rPr>
              <w:rFonts w:ascii="Times New Roman" w:hAnsi="Times New Roman" w:eastAsia="楷体" w:cs="Times New Roman"/>
            </w:rPr>
            <w:instrText xml:space="preserve"> PAGEREF _Toc14141 \h </w:instrText>
          </w:r>
          <w:r>
            <w:rPr>
              <w:rFonts w:ascii="Times New Roman" w:hAnsi="Times New Roman" w:eastAsia="楷体" w:cs="Times New Roman"/>
            </w:rPr>
            <w:fldChar w:fldCharType="separate"/>
          </w:r>
          <w:r>
            <w:rPr>
              <w:rFonts w:ascii="Times New Roman" w:hAnsi="Times New Roman" w:eastAsia="楷体" w:cs="Times New Roman"/>
            </w:rPr>
            <w:t>3</w:t>
          </w:r>
          <w:r>
            <w:rPr>
              <w:rFonts w:ascii="Times New Roman" w:hAnsi="Times New Roman" w:eastAsia="楷体" w:cs="Times New Roman"/>
            </w:rPr>
            <w:fldChar w:fldCharType="end"/>
          </w:r>
          <w:r>
            <w:rPr>
              <w:rFonts w:ascii="Times New Roman" w:hAnsi="Times New Roman" w:eastAsia="楷体" w:cs="Times New Roman"/>
            </w:rPr>
            <w:fldChar w:fldCharType="end"/>
          </w:r>
        </w:p>
        <w:p>
          <w:pPr>
            <w:pStyle w:val="22"/>
            <w:tabs>
              <w:tab w:val="right" w:leader="dot" w:pos="8845"/>
            </w:tabs>
            <w:spacing w:before="0"/>
            <w:rPr>
              <w:rFonts w:ascii="Times New Roman" w:hAnsi="Times New Roman" w:eastAsia="黑体"/>
              <w:b w:val="0"/>
              <w:sz w:val="32"/>
              <w:szCs w:val="32"/>
            </w:rPr>
          </w:pPr>
          <w:r>
            <w:fldChar w:fldCharType="begin"/>
          </w:r>
          <w:r>
            <w:instrText xml:space="preserve"> HYPERLINK \l "_Toc23060" </w:instrText>
          </w:r>
          <w:r>
            <w:fldChar w:fldCharType="separate"/>
          </w:r>
          <w:r>
            <w:rPr>
              <w:rFonts w:ascii="Times New Roman" w:hAnsi="Times New Roman" w:eastAsia="黑体"/>
              <w:b w:val="0"/>
              <w:bCs w:val="0"/>
              <w:caps w:val="0"/>
              <w:w w:val="100"/>
              <w:kern w:val="0"/>
              <w:sz w:val="32"/>
              <w:szCs w:val="32"/>
              <w:u w:val="single"/>
            </w:rPr>
            <w:t>二、当年预算执行情况</w:t>
          </w:r>
          <w:r>
            <w:rPr>
              <w:rFonts w:ascii="Times New Roman" w:hAnsi="Times New Roman" w:eastAsia="黑体"/>
              <w:b w:val="0"/>
              <w:bCs w:val="0"/>
              <w:caps w:val="0"/>
              <w:w w:val="100"/>
              <w:kern w:val="0"/>
              <w:sz w:val="32"/>
              <w:szCs w:val="32"/>
              <w:u w:val="single"/>
            </w:rPr>
            <w:tab/>
          </w:r>
          <w:r>
            <w:rPr>
              <w:rFonts w:ascii="Times New Roman" w:hAnsi="Times New Roman" w:eastAsia="黑体"/>
              <w:b w:val="0"/>
              <w:sz w:val="32"/>
              <w:szCs w:val="32"/>
            </w:rPr>
            <w:fldChar w:fldCharType="begin"/>
          </w:r>
          <w:r>
            <w:rPr>
              <w:rFonts w:ascii="Times New Roman" w:hAnsi="Times New Roman" w:eastAsia="黑体"/>
              <w:b w:val="0"/>
              <w:sz w:val="32"/>
              <w:szCs w:val="32"/>
            </w:rPr>
            <w:instrText xml:space="preserve"> PAGEREF _Toc23060 \h </w:instrText>
          </w:r>
          <w:r>
            <w:rPr>
              <w:rFonts w:ascii="Times New Roman" w:hAnsi="Times New Roman" w:eastAsia="黑体"/>
              <w:b w:val="0"/>
              <w:sz w:val="32"/>
              <w:szCs w:val="32"/>
            </w:rPr>
            <w:fldChar w:fldCharType="separate"/>
          </w:r>
          <w:r>
            <w:rPr>
              <w:rFonts w:ascii="Times New Roman" w:hAnsi="Times New Roman" w:eastAsia="黑体"/>
              <w:b w:val="0"/>
              <w:sz w:val="32"/>
              <w:szCs w:val="32"/>
            </w:rPr>
            <w:t>4</w:t>
          </w:r>
          <w:r>
            <w:rPr>
              <w:rFonts w:ascii="Times New Roman" w:hAnsi="Times New Roman" w:eastAsia="黑体"/>
              <w:b w:val="0"/>
              <w:sz w:val="32"/>
              <w:szCs w:val="32"/>
            </w:rPr>
            <w:fldChar w:fldCharType="end"/>
          </w:r>
          <w:r>
            <w:rPr>
              <w:rFonts w:ascii="Times New Roman" w:hAnsi="Times New Roman" w:eastAsia="黑体"/>
              <w:b w:val="0"/>
              <w:sz w:val="32"/>
              <w:szCs w:val="32"/>
            </w:rPr>
            <w:fldChar w:fldCharType="end"/>
          </w:r>
        </w:p>
        <w:p>
          <w:pPr>
            <w:pStyle w:val="22"/>
            <w:tabs>
              <w:tab w:val="right" w:leader="dot" w:pos="8845"/>
            </w:tabs>
            <w:spacing w:before="0"/>
            <w:rPr>
              <w:rFonts w:ascii="Times New Roman" w:hAnsi="Times New Roman" w:eastAsia="黑体"/>
              <w:b w:val="0"/>
              <w:sz w:val="32"/>
              <w:szCs w:val="32"/>
            </w:rPr>
          </w:pPr>
          <w:r>
            <w:fldChar w:fldCharType="begin"/>
          </w:r>
          <w:r>
            <w:instrText xml:space="preserve"> HYPERLINK \l "_Toc26638" </w:instrText>
          </w:r>
          <w:r>
            <w:fldChar w:fldCharType="separate"/>
          </w:r>
          <w:r>
            <w:rPr>
              <w:rFonts w:ascii="Times New Roman" w:hAnsi="Times New Roman" w:eastAsia="黑体"/>
              <w:b w:val="0"/>
              <w:bCs w:val="0"/>
              <w:caps w:val="0"/>
              <w:w w:val="100"/>
              <w:kern w:val="0"/>
              <w:sz w:val="32"/>
              <w:szCs w:val="32"/>
              <w:u w:val="single"/>
            </w:rPr>
            <w:t>三、整体绩效目标实现情况</w:t>
          </w:r>
          <w:r>
            <w:rPr>
              <w:rFonts w:ascii="Times New Roman" w:hAnsi="Times New Roman" w:eastAsia="黑体"/>
              <w:b w:val="0"/>
              <w:bCs w:val="0"/>
              <w:caps w:val="0"/>
              <w:w w:val="100"/>
              <w:kern w:val="0"/>
              <w:sz w:val="32"/>
              <w:szCs w:val="32"/>
              <w:u w:val="single"/>
            </w:rPr>
            <w:tab/>
          </w:r>
          <w:r>
            <w:rPr>
              <w:rFonts w:ascii="Times New Roman" w:hAnsi="Times New Roman" w:eastAsia="黑体"/>
              <w:b w:val="0"/>
              <w:sz w:val="32"/>
              <w:szCs w:val="32"/>
            </w:rPr>
            <w:fldChar w:fldCharType="begin"/>
          </w:r>
          <w:r>
            <w:rPr>
              <w:rFonts w:ascii="Times New Roman" w:hAnsi="Times New Roman" w:eastAsia="黑体"/>
              <w:b w:val="0"/>
              <w:sz w:val="32"/>
              <w:szCs w:val="32"/>
            </w:rPr>
            <w:instrText xml:space="preserve"> PAGEREF _Toc26638 \h </w:instrText>
          </w:r>
          <w:r>
            <w:rPr>
              <w:rFonts w:ascii="Times New Roman" w:hAnsi="Times New Roman" w:eastAsia="黑体"/>
              <w:b w:val="0"/>
              <w:sz w:val="32"/>
              <w:szCs w:val="32"/>
            </w:rPr>
            <w:fldChar w:fldCharType="separate"/>
          </w:r>
          <w:r>
            <w:rPr>
              <w:rFonts w:ascii="Times New Roman" w:hAnsi="Times New Roman" w:eastAsia="黑体"/>
              <w:b w:val="0"/>
              <w:sz w:val="32"/>
              <w:szCs w:val="32"/>
            </w:rPr>
            <w:t>4</w:t>
          </w:r>
          <w:r>
            <w:rPr>
              <w:rFonts w:ascii="Times New Roman" w:hAnsi="Times New Roman" w:eastAsia="黑体"/>
              <w:b w:val="0"/>
              <w:sz w:val="32"/>
              <w:szCs w:val="32"/>
            </w:rPr>
            <w:fldChar w:fldCharType="end"/>
          </w:r>
          <w:r>
            <w:rPr>
              <w:rFonts w:ascii="Times New Roman" w:hAnsi="Times New Roman" w:eastAsia="黑体"/>
              <w:b w:val="0"/>
              <w:sz w:val="32"/>
              <w:szCs w:val="32"/>
            </w:rPr>
            <w:fldChar w:fldCharType="end"/>
          </w:r>
        </w:p>
        <w:p>
          <w:pPr>
            <w:pStyle w:val="24"/>
            <w:tabs>
              <w:tab w:val="right" w:leader="dot" w:pos="8845"/>
              <w:tab w:val="clear" w:pos="8680"/>
            </w:tabs>
            <w:rPr>
              <w:rFonts w:ascii="Times New Roman" w:hAnsi="Times New Roman" w:eastAsia="楷体" w:cs="Times New Roman"/>
              <w:bCs/>
            </w:rPr>
          </w:pPr>
          <w:r>
            <w:fldChar w:fldCharType="begin"/>
          </w:r>
          <w:r>
            <w:instrText xml:space="preserve"> HYPERLINK \l "_Toc27216" </w:instrText>
          </w:r>
          <w:r>
            <w:fldChar w:fldCharType="separate"/>
          </w:r>
          <w:r>
            <w:rPr>
              <w:rFonts w:ascii="Times New Roman" w:hAnsi="Times New Roman" w:eastAsia="楷体" w:cs="Times New Roman"/>
              <w:bCs/>
            </w:rPr>
            <w:t>（一）产出完成情况分析</w:t>
          </w:r>
          <w:r>
            <w:rPr>
              <w:rFonts w:ascii="Times New Roman" w:hAnsi="Times New Roman" w:eastAsia="楷体" w:cs="Times New Roman"/>
              <w:bCs/>
            </w:rPr>
            <w:tab/>
          </w:r>
          <w:r>
            <w:rPr>
              <w:rFonts w:ascii="Times New Roman" w:hAnsi="Times New Roman" w:eastAsia="楷体" w:cs="Times New Roman"/>
              <w:bCs/>
            </w:rPr>
            <w:fldChar w:fldCharType="begin"/>
          </w:r>
          <w:r>
            <w:rPr>
              <w:rFonts w:ascii="Times New Roman" w:hAnsi="Times New Roman" w:eastAsia="楷体" w:cs="Times New Roman"/>
              <w:bCs/>
            </w:rPr>
            <w:instrText xml:space="preserve"> PAGEREF _Toc27216 \h </w:instrText>
          </w:r>
          <w:r>
            <w:rPr>
              <w:rFonts w:ascii="Times New Roman" w:hAnsi="Times New Roman" w:eastAsia="楷体" w:cs="Times New Roman"/>
              <w:bCs/>
            </w:rPr>
            <w:fldChar w:fldCharType="separate"/>
          </w:r>
          <w:r>
            <w:rPr>
              <w:rFonts w:ascii="Times New Roman" w:hAnsi="Times New Roman" w:eastAsia="楷体" w:cs="Times New Roman"/>
              <w:bCs/>
            </w:rPr>
            <w:t>5</w:t>
          </w:r>
          <w:r>
            <w:rPr>
              <w:rFonts w:ascii="Times New Roman" w:hAnsi="Times New Roman" w:eastAsia="楷体" w:cs="Times New Roman"/>
              <w:bCs/>
            </w:rPr>
            <w:fldChar w:fldCharType="end"/>
          </w:r>
          <w:r>
            <w:rPr>
              <w:rFonts w:ascii="Times New Roman" w:hAnsi="Times New Roman" w:eastAsia="楷体" w:cs="Times New Roman"/>
              <w:bCs/>
            </w:rPr>
            <w:fldChar w:fldCharType="end"/>
          </w:r>
        </w:p>
        <w:p>
          <w:pPr>
            <w:pStyle w:val="24"/>
            <w:tabs>
              <w:tab w:val="right" w:leader="dot" w:pos="8845"/>
              <w:tab w:val="clear" w:pos="8680"/>
            </w:tabs>
            <w:rPr>
              <w:rFonts w:ascii="Times New Roman" w:hAnsi="Times New Roman" w:eastAsia="楷体" w:cs="Times New Roman"/>
              <w:bCs/>
            </w:rPr>
          </w:pPr>
          <w:r>
            <w:fldChar w:fldCharType="begin"/>
          </w:r>
          <w:r>
            <w:instrText xml:space="preserve"> HYPERLINK \l "_Toc28652" </w:instrText>
          </w:r>
          <w:r>
            <w:fldChar w:fldCharType="separate"/>
          </w:r>
          <w:r>
            <w:rPr>
              <w:rFonts w:ascii="Times New Roman" w:hAnsi="Times New Roman" w:eastAsia="楷体" w:cs="Times New Roman"/>
              <w:bCs/>
            </w:rPr>
            <w:t>（二）效果实现情况分析</w:t>
          </w:r>
          <w:r>
            <w:rPr>
              <w:rFonts w:ascii="Times New Roman" w:hAnsi="Times New Roman" w:eastAsia="楷体" w:cs="Times New Roman"/>
              <w:bCs/>
            </w:rPr>
            <w:tab/>
          </w:r>
          <w:r>
            <w:rPr>
              <w:rFonts w:ascii="Times New Roman" w:hAnsi="Times New Roman" w:eastAsia="楷体" w:cs="Times New Roman"/>
              <w:bCs/>
            </w:rPr>
            <w:fldChar w:fldCharType="begin"/>
          </w:r>
          <w:r>
            <w:rPr>
              <w:rFonts w:ascii="Times New Roman" w:hAnsi="Times New Roman" w:eastAsia="楷体" w:cs="Times New Roman"/>
              <w:bCs/>
            </w:rPr>
            <w:instrText xml:space="preserve"> PAGEREF _Toc28652 \h </w:instrText>
          </w:r>
          <w:r>
            <w:rPr>
              <w:rFonts w:ascii="Times New Roman" w:hAnsi="Times New Roman" w:eastAsia="楷体" w:cs="Times New Roman"/>
              <w:bCs/>
            </w:rPr>
            <w:fldChar w:fldCharType="separate"/>
          </w:r>
          <w:r>
            <w:rPr>
              <w:rFonts w:ascii="Times New Roman" w:hAnsi="Times New Roman" w:eastAsia="楷体" w:cs="Times New Roman"/>
              <w:bCs/>
            </w:rPr>
            <w:t>14</w:t>
          </w:r>
          <w:r>
            <w:rPr>
              <w:rFonts w:ascii="Times New Roman" w:hAnsi="Times New Roman" w:eastAsia="楷体" w:cs="Times New Roman"/>
              <w:bCs/>
            </w:rPr>
            <w:fldChar w:fldCharType="end"/>
          </w:r>
          <w:r>
            <w:rPr>
              <w:rFonts w:ascii="Times New Roman" w:hAnsi="Times New Roman" w:eastAsia="楷体" w:cs="Times New Roman"/>
              <w:bCs/>
            </w:rPr>
            <w:fldChar w:fldCharType="end"/>
          </w:r>
        </w:p>
        <w:p>
          <w:pPr>
            <w:pStyle w:val="22"/>
            <w:tabs>
              <w:tab w:val="right" w:leader="dot" w:pos="8845"/>
            </w:tabs>
            <w:spacing w:before="0"/>
            <w:rPr>
              <w:rFonts w:ascii="Times New Roman" w:hAnsi="Times New Roman" w:eastAsia="黑体"/>
              <w:b w:val="0"/>
              <w:sz w:val="32"/>
              <w:szCs w:val="32"/>
            </w:rPr>
          </w:pPr>
          <w:r>
            <w:fldChar w:fldCharType="begin"/>
          </w:r>
          <w:r>
            <w:instrText xml:space="preserve"> HYPERLINK \l "_Toc18210" </w:instrText>
          </w:r>
          <w:r>
            <w:fldChar w:fldCharType="separate"/>
          </w:r>
          <w:r>
            <w:rPr>
              <w:rFonts w:ascii="Times New Roman" w:hAnsi="Times New Roman" w:eastAsia="黑体"/>
              <w:b w:val="0"/>
              <w:bCs w:val="0"/>
              <w:caps w:val="0"/>
              <w:w w:val="100"/>
              <w:kern w:val="0"/>
              <w:sz w:val="32"/>
              <w:szCs w:val="32"/>
              <w:u w:val="single"/>
            </w:rPr>
            <w:t>四、预算管理情况分析</w:t>
          </w:r>
          <w:r>
            <w:rPr>
              <w:rFonts w:ascii="Times New Roman" w:hAnsi="Times New Roman" w:eastAsia="黑体"/>
              <w:b w:val="0"/>
              <w:bCs w:val="0"/>
              <w:caps w:val="0"/>
              <w:w w:val="100"/>
              <w:kern w:val="0"/>
              <w:sz w:val="32"/>
              <w:szCs w:val="32"/>
              <w:u w:val="single"/>
            </w:rPr>
            <w:tab/>
          </w:r>
          <w:r>
            <w:rPr>
              <w:rFonts w:ascii="Times New Roman" w:hAnsi="Times New Roman" w:eastAsia="黑体"/>
              <w:b w:val="0"/>
              <w:sz w:val="32"/>
              <w:szCs w:val="32"/>
            </w:rPr>
            <w:fldChar w:fldCharType="begin"/>
          </w:r>
          <w:r>
            <w:rPr>
              <w:rFonts w:ascii="Times New Roman" w:hAnsi="Times New Roman" w:eastAsia="黑体"/>
              <w:b w:val="0"/>
              <w:sz w:val="32"/>
              <w:szCs w:val="32"/>
            </w:rPr>
            <w:instrText xml:space="preserve"> PAGEREF _Toc18210 \h </w:instrText>
          </w:r>
          <w:r>
            <w:rPr>
              <w:rFonts w:ascii="Times New Roman" w:hAnsi="Times New Roman" w:eastAsia="黑体"/>
              <w:b w:val="0"/>
              <w:sz w:val="32"/>
              <w:szCs w:val="32"/>
            </w:rPr>
            <w:fldChar w:fldCharType="separate"/>
          </w:r>
          <w:r>
            <w:rPr>
              <w:rFonts w:ascii="Times New Roman" w:hAnsi="Times New Roman" w:eastAsia="黑体"/>
              <w:b w:val="0"/>
              <w:sz w:val="32"/>
              <w:szCs w:val="32"/>
            </w:rPr>
            <w:t>19</w:t>
          </w:r>
          <w:r>
            <w:rPr>
              <w:rFonts w:ascii="Times New Roman" w:hAnsi="Times New Roman" w:eastAsia="黑体"/>
              <w:b w:val="0"/>
              <w:sz w:val="32"/>
              <w:szCs w:val="32"/>
            </w:rPr>
            <w:fldChar w:fldCharType="end"/>
          </w:r>
          <w:r>
            <w:rPr>
              <w:rFonts w:ascii="Times New Roman" w:hAnsi="Times New Roman" w:eastAsia="黑体"/>
              <w:b w:val="0"/>
              <w:sz w:val="32"/>
              <w:szCs w:val="32"/>
            </w:rPr>
            <w:fldChar w:fldCharType="end"/>
          </w:r>
        </w:p>
        <w:p>
          <w:pPr>
            <w:pStyle w:val="24"/>
            <w:tabs>
              <w:tab w:val="right" w:leader="dot" w:pos="8845"/>
              <w:tab w:val="clear" w:pos="8680"/>
            </w:tabs>
            <w:rPr>
              <w:rFonts w:ascii="Times New Roman" w:hAnsi="Times New Roman" w:eastAsia="楷体" w:cs="Times New Roman"/>
              <w:bCs/>
            </w:rPr>
          </w:pPr>
          <w:r>
            <w:fldChar w:fldCharType="begin"/>
          </w:r>
          <w:r>
            <w:instrText xml:space="preserve"> HYPERLINK \l "_Toc8654" </w:instrText>
          </w:r>
          <w:r>
            <w:fldChar w:fldCharType="separate"/>
          </w:r>
          <w:r>
            <w:rPr>
              <w:rFonts w:ascii="Times New Roman" w:hAnsi="Times New Roman" w:eastAsia="楷体" w:cs="Times New Roman"/>
              <w:bCs/>
            </w:rPr>
            <w:t>（一）财务管理</w:t>
          </w:r>
          <w:r>
            <w:rPr>
              <w:rFonts w:ascii="Times New Roman" w:hAnsi="Times New Roman" w:eastAsia="楷体" w:cs="Times New Roman"/>
              <w:bCs/>
            </w:rPr>
            <w:tab/>
          </w:r>
          <w:r>
            <w:rPr>
              <w:rFonts w:ascii="Times New Roman" w:hAnsi="Times New Roman" w:eastAsia="楷体" w:cs="Times New Roman"/>
              <w:bCs/>
            </w:rPr>
            <w:fldChar w:fldCharType="begin"/>
          </w:r>
          <w:r>
            <w:rPr>
              <w:rFonts w:ascii="Times New Roman" w:hAnsi="Times New Roman" w:eastAsia="楷体" w:cs="Times New Roman"/>
              <w:bCs/>
            </w:rPr>
            <w:instrText xml:space="preserve"> PAGEREF _Toc8654 \h </w:instrText>
          </w:r>
          <w:r>
            <w:rPr>
              <w:rFonts w:ascii="Times New Roman" w:hAnsi="Times New Roman" w:eastAsia="楷体" w:cs="Times New Roman"/>
              <w:bCs/>
            </w:rPr>
            <w:fldChar w:fldCharType="separate"/>
          </w:r>
          <w:r>
            <w:rPr>
              <w:rFonts w:ascii="Times New Roman" w:hAnsi="Times New Roman" w:eastAsia="楷体" w:cs="Times New Roman"/>
              <w:bCs/>
            </w:rPr>
            <w:t>19</w:t>
          </w:r>
          <w:r>
            <w:rPr>
              <w:rFonts w:ascii="Times New Roman" w:hAnsi="Times New Roman" w:eastAsia="楷体" w:cs="Times New Roman"/>
              <w:bCs/>
            </w:rPr>
            <w:fldChar w:fldCharType="end"/>
          </w:r>
          <w:r>
            <w:rPr>
              <w:rFonts w:ascii="Times New Roman" w:hAnsi="Times New Roman" w:eastAsia="楷体" w:cs="Times New Roman"/>
              <w:bCs/>
            </w:rPr>
            <w:fldChar w:fldCharType="end"/>
          </w:r>
        </w:p>
        <w:p>
          <w:pPr>
            <w:pStyle w:val="24"/>
            <w:tabs>
              <w:tab w:val="right" w:leader="dot" w:pos="8845"/>
              <w:tab w:val="clear" w:pos="8680"/>
            </w:tabs>
            <w:rPr>
              <w:rFonts w:ascii="Times New Roman" w:hAnsi="Times New Roman" w:eastAsia="楷体" w:cs="Times New Roman"/>
              <w:bCs/>
            </w:rPr>
          </w:pPr>
          <w:r>
            <w:fldChar w:fldCharType="begin"/>
          </w:r>
          <w:r>
            <w:instrText xml:space="preserve"> HYPERLINK \l "_Toc26513" </w:instrText>
          </w:r>
          <w:r>
            <w:fldChar w:fldCharType="separate"/>
          </w:r>
          <w:r>
            <w:rPr>
              <w:rFonts w:ascii="Times New Roman" w:hAnsi="Times New Roman" w:eastAsia="楷体" w:cs="Times New Roman"/>
              <w:bCs/>
            </w:rPr>
            <w:t>（二）资产管理</w:t>
          </w:r>
          <w:r>
            <w:rPr>
              <w:rFonts w:ascii="Times New Roman" w:hAnsi="Times New Roman" w:eastAsia="楷体" w:cs="Times New Roman"/>
              <w:bCs/>
            </w:rPr>
            <w:tab/>
          </w:r>
          <w:r>
            <w:rPr>
              <w:rFonts w:ascii="Times New Roman" w:hAnsi="Times New Roman" w:eastAsia="楷体" w:cs="Times New Roman"/>
              <w:bCs/>
            </w:rPr>
            <w:fldChar w:fldCharType="begin"/>
          </w:r>
          <w:r>
            <w:rPr>
              <w:rFonts w:ascii="Times New Roman" w:hAnsi="Times New Roman" w:eastAsia="楷体" w:cs="Times New Roman"/>
              <w:bCs/>
            </w:rPr>
            <w:instrText xml:space="preserve"> PAGEREF _Toc26513 \h </w:instrText>
          </w:r>
          <w:r>
            <w:rPr>
              <w:rFonts w:ascii="Times New Roman" w:hAnsi="Times New Roman" w:eastAsia="楷体" w:cs="Times New Roman"/>
              <w:bCs/>
            </w:rPr>
            <w:fldChar w:fldCharType="separate"/>
          </w:r>
          <w:r>
            <w:rPr>
              <w:rFonts w:ascii="Times New Roman" w:hAnsi="Times New Roman" w:eastAsia="楷体" w:cs="Times New Roman"/>
              <w:bCs/>
            </w:rPr>
            <w:t>20</w:t>
          </w:r>
          <w:r>
            <w:rPr>
              <w:rFonts w:ascii="Times New Roman" w:hAnsi="Times New Roman" w:eastAsia="楷体" w:cs="Times New Roman"/>
              <w:bCs/>
            </w:rPr>
            <w:fldChar w:fldCharType="end"/>
          </w:r>
          <w:r>
            <w:rPr>
              <w:rFonts w:ascii="Times New Roman" w:hAnsi="Times New Roman" w:eastAsia="楷体" w:cs="Times New Roman"/>
              <w:bCs/>
            </w:rPr>
            <w:fldChar w:fldCharType="end"/>
          </w:r>
        </w:p>
        <w:p>
          <w:pPr>
            <w:pStyle w:val="24"/>
            <w:tabs>
              <w:tab w:val="right" w:leader="dot" w:pos="8845"/>
              <w:tab w:val="clear" w:pos="8680"/>
            </w:tabs>
            <w:rPr>
              <w:rFonts w:ascii="Times New Roman" w:hAnsi="Times New Roman" w:eastAsia="楷体" w:cs="Times New Roman"/>
              <w:bCs/>
            </w:rPr>
          </w:pPr>
          <w:r>
            <w:fldChar w:fldCharType="begin"/>
          </w:r>
          <w:r>
            <w:instrText xml:space="preserve"> HYPERLINK \l "_Toc28902" </w:instrText>
          </w:r>
          <w:r>
            <w:fldChar w:fldCharType="separate"/>
          </w:r>
          <w:r>
            <w:rPr>
              <w:rFonts w:ascii="Times New Roman" w:hAnsi="Times New Roman" w:eastAsia="楷体" w:cs="Times New Roman"/>
              <w:bCs/>
            </w:rPr>
            <w:t>（三）绩效管理</w:t>
          </w:r>
          <w:r>
            <w:rPr>
              <w:rFonts w:ascii="Times New Roman" w:hAnsi="Times New Roman" w:eastAsia="楷体" w:cs="Times New Roman"/>
              <w:bCs/>
            </w:rPr>
            <w:tab/>
          </w:r>
          <w:r>
            <w:rPr>
              <w:rFonts w:ascii="Times New Roman" w:hAnsi="Times New Roman" w:eastAsia="楷体" w:cs="Times New Roman"/>
              <w:bCs/>
            </w:rPr>
            <w:fldChar w:fldCharType="begin"/>
          </w:r>
          <w:r>
            <w:rPr>
              <w:rFonts w:ascii="Times New Roman" w:hAnsi="Times New Roman" w:eastAsia="楷体" w:cs="Times New Roman"/>
              <w:bCs/>
            </w:rPr>
            <w:instrText xml:space="preserve"> PAGEREF _Toc28902 \h </w:instrText>
          </w:r>
          <w:r>
            <w:rPr>
              <w:rFonts w:ascii="Times New Roman" w:hAnsi="Times New Roman" w:eastAsia="楷体" w:cs="Times New Roman"/>
              <w:bCs/>
            </w:rPr>
            <w:fldChar w:fldCharType="separate"/>
          </w:r>
          <w:r>
            <w:rPr>
              <w:rFonts w:ascii="Times New Roman" w:hAnsi="Times New Roman" w:eastAsia="楷体" w:cs="Times New Roman"/>
              <w:bCs/>
            </w:rPr>
            <w:t>21</w:t>
          </w:r>
          <w:r>
            <w:rPr>
              <w:rFonts w:ascii="Times New Roman" w:hAnsi="Times New Roman" w:eastAsia="楷体" w:cs="Times New Roman"/>
              <w:bCs/>
            </w:rPr>
            <w:fldChar w:fldCharType="end"/>
          </w:r>
          <w:r>
            <w:rPr>
              <w:rFonts w:ascii="Times New Roman" w:hAnsi="Times New Roman" w:eastAsia="楷体" w:cs="Times New Roman"/>
              <w:bCs/>
            </w:rPr>
            <w:fldChar w:fldCharType="end"/>
          </w:r>
        </w:p>
        <w:p>
          <w:pPr>
            <w:pStyle w:val="24"/>
            <w:tabs>
              <w:tab w:val="right" w:leader="dot" w:pos="8845"/>
              <w:tab w:val="clear" w:pos="8680"/>
            </w:tabs>
            <w:rPr>
              <w:rFonts w:ascii="Times New Roman" w:hAnsi="Times New Roman" w:eastAsia="楷体" w:cs="Times New Roman"/>
              <w:bCs/>
            </w:rPr>
          </w:pPr>
          <w:r>
            <w:fldChar w:fldCharType="begin"/>
          </w:r>
          <w:r>
            <w:instrText xml:space="preserve"> HYPERLINK \l "_Toc28989" </w:instrText>
          </w:r>
          <w:r>
            <w:fldChar w:fldCharType="separate"/>
          </w:r>
          <w:r>
            <w:rPr>
              <w:rFonts w:ascii="Times New Roman" w:hAnsi="Times New Roman" w:eastAsia="楷体" w:cs="Times New Roman"/>
              <w:bCs/>
            </w:rPr>
            <w:t>（四）结转结余率</w:t>
          </w:r>
          <w:r>
            <w:rPr>
              <w:rFonts w:ascii="Times New Roman" w:hAnsi="Times New Roman" w:eastAsia="楷体" w:cs="Times New Roman"/>
              <w:bCs/>
            </w:rPr>
            <w:tab/>
          </w:r>
          <w:r>
            <w:rPr>
              <w:rFonts w:ascii="Times New Roman" w:hAnsi="Times New Roman" w:eastAsia="楷体" w:cs="Times New Roman"/>
              <w:bCs/>
            </w:rPr>
            <w:fldChar w:fldCharType="begin"/>
          </w:r>
          <w:r>
            <w:rPr>
              <w:rFonts w:ascii="Times New Roman" w:hAnsi="Times New Roman" w:eastAsia="楷体" w:cs="Times New Roman"/>
              <w:bCs/>
            </w:rPr>
            <w:instrText xml:space="preserve"> PAGEREF _Toc28989 \h </w:instrText>
          </w:r>
          <w:r>
            <w:rPr>
              <w:rFonts w:ascii="Times New Roman" w:hAnsi="Times New Roman" w:eastAsia="楷体" w:cs="Times New Roman"/>
              <w:bCs/>
            </w:rPr>
            <w:fldChar w:fldCharType="separate"/>
          </w:r>
          <w:r>
            <w:rPr>
              <w:rFonts w:ascii="Times New Roman" w:hAnsi="Times New Roman" w:eastAsia="楷体" w:cs="Times New Roman"/>
              <w:bCs/>
            </w:rPr>
            <w:t>22</w:t>
          </w:r>
          <w:r>
            <w:rPr>
              <w:rFonts w:ascii="Times New Roman" w:hAnsi="Times New Roman" w:eastAsia="楷体" w:cs="Times New Roman"/>
              <w:bCs/>
            </w:rPr>
            <w:fldChar w:fldCharType="end"/>
          </w:r>
          <w:r>
            <w:rPr>
              <w:rFonts w:ascii="Times New Roman" w:hAnsi="Times New Roman" w:eastAsia="楷体" w:cs="Times New Roman"/>
              <w:bCs/>
            </w:rPr>
            <w:fldChar w:fldCharType="end"/>
          </w:r>
        </w:p>
        <w:p>
          <w:pPr>
            <w:pStyle w:val="24"/>
            <w:tabs>
              <w:tab w:val="right" w:leader="dot" w:pos="8845"/>
              <w:tab w:val="clear" w:pos="8680"/>
            </w:tabs>
            <w:rPr>
              <w:rFonts w:ascii="Times New Roman" w:hAnsi="Times New Roman" w:cs="Times New Roman"/>
              <w:bCs/>
            </w:rPr>
          </w:pPr>
          <w:r>
            <w:fldChar w:fldCharType="begin"/>
          </w:r>
          <w:r>
            <w:instrText xml:space="preserve"> HYPERLINK \l "_Toc22175" </w:instrText>
          </w:r>
          <w:r>
            <w:fldChar w:fldCharType="separate"/>
          </w:r>
          <w:r>
            <w:rPr>
              <w:rFonts w:ascii="Times New Roman" w:hAnsi="Times New Roman" w:eastAsia="楷体" w:cs="Times New Roman"/>
              <w:bCs/>
            </w:rPr>
            <w:t>（五）部门预决算差异</w:t>
          </w:r>
          <w:r>
            <w:rPr>
              <w:rFonts w:hint="eastAsia" w:ascii="Times New Roman" w:hAnsi="Times New Roman" w:eastAsia="楷体" w:cs="Times New Roman"/>
              <w:bCs/>
            </w:rPr>
            <w:t>率</w:t>
          </w:r>
          <w:r>
            <w:rPr>
              <w:rFonts w:ascii="Times New Roman" w:hAnsi="Times New Roman" w:eastAsia="楷体" w:cs="Times New Roman"/>
              <w:bCs/>
            </w:rPr>
            <w:tab/>
          </w:r>
          <w:r>
            <w:rPr>
              <w:rFonts w:ascii="Times New Roman" w:hAnsi="Times New Roman" w:eastAsia="楷体" w:cs="Times New Roman"/>
              <w:bCs/>
            </w:rPr>
            <w:fldChar w:fldCharType="begin"/>
          </w:r>
          <w:r>
            <w:rPr>
              <w:rFonts w:ascii="Times New Roman" w:hAnsi="Times New Roman" w:eastAsia="楷体" w:cs="Times New Roman"/>
              <w:bCs/>
            </w:rPr>
            <w:instrText xml:space="preserve"> PAGEREF _Toc22175 \h </w:instrText>
          </w:r>
          <w:r>
            <w:rPr>
              <w:rFonts w:ascii="Times New Roman" w:hAnsi="Times New Roman" w:eastAsia="楷体" w:cs="Times New Roman"/>
              <w:bCs/>
            </w:rPr>
            <w:fldChar w:fldCharType="separate"/>
          </w:r>
          <w:r>
            <w:rPr>
              <w:rFonts w:ascii="Times New Roman" w:hAnsi="Times New Roman" w:eastAsia="楷体" w:cs="Times New Roman"/>
              <w:bCs/>
            </w:rPr>
            <w:t>22</w:t>
          </w:r>
          <w:r>
            <w:rPr>
              <w:rFonts w:ascii="Times New Roman" w:hAnsi="Times New Roman" w:eastAsia="楷体" w:cs="Times New Roman"/>
              <w:bCs/>
            </w:rPr>
            <w:fldChar w:fldCharType="end"/>
          </w:r>
          <w:r>
            <w:rPr>
              <w:rFonts w:ascii="Times New Roman" w:hAnsi="Times New Roman" w:eastAsia="楷体" w:cs="Times New Roman"/>
              <w:bCs/>
            </w:rPr>
            <w:fldChar w:fldCharType="end"/>
          </w:r>
        </w:p>
        <w:p>
          <w:pPr>
            <w:pStyle w:val="22"/>
            <w:tabs>
              <w:tab w:val="right" w:leader="dot" w:pos="8845"/>
            </w:tabs>
            <w:spacing w:before="0"/>
            <w:rPr>
              <w:rFonts w:ascii="Times New Roman" w:hAnsi="Times New Roman" w:eastAsia="黑体"/>
              <w:b w:val="0"/>
              <w:sz w:val="32"/>
              <w:szCs w:val="32"/>
            </w:rPr>
          </w:pPr>
          <w:r>
            <w:fldChar w:fldCharType="begin"/>
          </w:r>
          <w:r>
            <w:instrText xml:space="preserve"> HYPERLINK \l "_Toc243" </w:instrText>
          </w:r>
          <w:r>
            <w:fldChar w:fldCharType="separate"/>
          </w:r>
          <w:r>
            <w:rPr>
              <w:rFonts w:ascii="Times New Roman" w:hAnsi="Times New Roman" w:eastAsia="黑体"/>
              <w:b w:val="0"/>
              <w:bCs w:val="0"/>
              <w:caps w:val="0"/>
              <w:w w:val="100"/>
              <w:kern w:val="0"/>
              <w:sz w:val="32"/>
              <w:szCs w:val="32"/>
              <w:u w:val="single"/>
            </w:rPr>
            <w:t>五、总体评价结论</w:t>
          </w:r>
          <w:r>
            <w:rPr>
              <w:rFonts w:ascii="Times New Roman" w:hAnsi="Times New Roman" w:eastAsia="黑体"/>
              <w:b w:val="0"/>
              <w:bCs w:val="0"/>
              <w:caps w:val="0"/>
              <w:w w:val="100"/>
              <w:kern w:val="0"/>
              <w:sz w:val="32"/>
              <w:szCs w:val="32"/>
              <w:u w:val="single"/>
            </w:rPr>
            <w:tab/>
          </w:r>
          <w:r>
            <w:rPr>
              <w:rFonts w:ascii="Times New Roman" w:hAnsi="Times New Roman" w:eastAsia="黑体"/>
              <w:b w:val="0"/>
              <w:sz w:val="32"/>
              <w:szCs w:val="32"/>
            </w:rPr>
            <w:fldChar w:fldCharType="begin"/>
          </w:r>
          <w:r>
            <w:rPr>
              <w:rFonts w:ascii="Times New Roman" w:hAnsi="Times New Roman" w:eastAsia="黑体"/>
              <w:b w:val="0"/>
              <w:sz w:val="32"/>
              <w:szCs w:val="32"/>
            </w:rPr>
            <w:instrText xml:space="preserve"> PAGEREF _Toc243 \h </w:instrText>
          </w:r>
          <w:r>
            <w:rPr>
              <w:rFonts w:ascii="Times New Roman" w:hAnsi="Times New Roman" w:eastAsia="黑体"/>
              <w:b w:val="0"/>
              <w:sz w:val="32"/>
              <w:szCs w:val="32"/>
            </w:rPr>
            <w:fldChar w:fldCharType="separate"/>
          </w:r>
          <w:r>
            <w:rPr>
              <w:rFonts w:ascii="Times New Roman" w:hAnsi="Times New Roman" w:eastAsia="黑体"/>
              <w:b w:val="0"/>
              <w:sz w:val="32"/>
              <w:szCs w:val="32"/>
            </w:rPr>
            <w:t>22</w:t>
          </w:r>
          <w:r>
            <w:rPr>
              <w:rFonts w:ascii="Times New Roman" w:hAnsi="Times New Roman" w:eastAsia="黑体"/>
              <w:b w:val="0"/>
              <w:sz w:val="32"/>
              <w:szCs w:val="32"/>
            </w:rPr>
            <w:fldChar w:fldCharType="end"/>
          </w:r>
          <w:r>
            <w:rPr>
              <w:rFonts w:ascii="Times New Roman" w:hAnsi="Times New Roman" w:eastAsia="黑体"/>
              <w:b w:val="0"/>
              <w:sz w:val="32"/>
              <w:szCs w:val="32"/>
            </w:rPr>
            <w:fldChar w:fldCharType="end"/>
          </w:r>
        </w:p>
        <w:p>
          <w:pPr>
            <w:pStyle w:val="22"/>
            <w:tabs>
              <w:tab w:val="right" w:leader="dot" w:pos="8845"/>
            </w:tabs>
            <w:spacing w:before="0"/>
            <w:rPr>
              <w:rFonts w:ascii="Times New Roman" w:hAnsi="Times New Roman" w:eastAsia="黑体"/>
              <w:b w:val="0"/>
              <w:bCs w:val="0"/>
              <w:caps w:val="0"/>
              <w:color w:val="0563C1"/>
              <w:w w:val="100"/>
              <w:kern w:val="0"/>
              <w:sz w:val="32"/>
              <w:szCs w:val="32"/>
              <w:u w:val="single"/>
            </w:rPr>
          </w:pPr>
          <w:r>
            <w:fldChar w:fldCharType="begin"/>
          </w:r>
          <w:r>
            <w:instrText xml:space="preserve"> HYPERLINK \l "_Toc2430" </w:instrText>
          </w:r>
          <w:r>
            <w:fldChar w:fldCharType="separate"/>
          </w:r>
          <w:r>
            <w:rPr>
              <w:rFonts w:ascii="Times New Roman" w:hAnsi="Times New Roman" w:eastAsia="黑体"/>
              <w:b w:val="0"/>
              <w:bCs w:val="0"/>
              <w:caps w:val="0"/>
              <w:w w:val="100"/>
              <w:kern w:val="0"/>
              <w:sz w:val="32"/>
              <w:szCs w:val="32"/>
              <w:u w:val="single"/>
            </w:rPr>
            <w:t>六、措施建议</w:t>
          </w:r>
          <w:r>
            <w:rPr>
              <w:rFonts w:ascii="Times New Roman" w:hAnsi="Times New Roman" w:eastAsia="黑体"/>
              <w:b w:val="0"/>
              <w:bCs w:val="0"/>
              <w:caps w:val="0"/>
              <w:w w:val="100"/>
              <w:kern w:val="0"/>
              <w:sz w:val="32"/>
              <w:szCs w:val="32"/>
              <w:u w:val="single"/>
            </w:rPr>
            <w:tab/>
          </w:r>
          <w:r>
            <w:rPr>
              <w:rFonts w:ascii="Times New Roman" w:hAnsi="Times New Roman" w:eastAsia="黑体"/>
              <w:b w:val="0"/>
              <w:bCs w:val="0"/>
              <w:caps w:val="0"/>
              <w:w w:val="100"/>
              <w:kern w:val="0"/>
              <w:sz w:val="32"/>
              <w:szCs w:val="32"/>
              <w:u w:val="single"/>
            </w:rPr>
            <w:fldChar w:fldCharType="begin"/>
          </w:r>
          <w:r>
            <w:rPr>
              <w:rFonts w:ascii="Times New Roman" w:hAnsi="Times New Roman" w:eastAsia="黑体"/>
              <w:b w:val="0"/>
              <w:bCs w:val="0"/>
              <w:caps w:val="0"/>
              <w:w w:val="100"/>
              <w:kern w:val="0"/>
              <w:sz w:val="32"/>
              <w:szCs w:val="32"/>
              <w:u w:val="single"/>
            </w:rPr>
            <w:instrText xml:space="preserve"> PAGEREF _Toc2430 \h </w:instrText>
          </w:r>
          <w:r>
            <w:rPr>
              <w:rFonts w:ascii="Times New Roman" w:hAnsi="Times New Roman" w:eastAsia="黑体"/>
              <w:b w:val="0"/>
              <w:bCs w:val="0"/>
              <w:caps w:val="0"/>
              <w:w w:val="100"/>
              <w:kern w:val="0"/>
              <w:sz w:val="32"/>
              <w:szCs w:val="32"/>
              <w:u w:val="single"/>
            </w:rPr>
            <w:fldChar w:fldCharType="separate"/>
          </w:r>
          <w:r>
            <w:rPr>
              <w:rFonts w:ascii="Times New Roman" w:hAnsi="Times New Roman" w:eastAsia="黑体"/>
              <w:b w:val="0"/>
              <w:bCs w:val="0"/>
              <w:caps w:val="0"/>
              <w:w w:val="100"/>
              <w:kern w:val="0"/>
              <w:sz w:val="32"/>
              <w:szCs w:val="32"/>
              <w:u w:val="single"/>
            </w:rPr>
            <w:t>24</w:t>
          </w:r>
          <w:r>
            <w:rPr>
              <w:rFonts w:ascii="Times New Roman" w:hAnsi="Times New Roman" w:eastAsia="黑体"/>
              <w:b w:val="0"/>
              <w:bCs w:val="0"/>
              <w:caps w:val="0"/>
              <w:w w:val="100"/>
              <w:kern w:val="0"/>
              <w:sz w:val="32"/>
              <w:szCs w:val="32"/>
              <w:u w:val="single"/>
            </w:rPr>
            <w:fldChar w:fldCharType="end"/>
          </w:r>
          <w:r>
            <w:rPr>
              <w:rFonts w:ascii="Times New Roman" w:hAnsi="Times New Roman" w:eastAsia="黑体"/>
              <w:b w:val="0"/>
              <w:bCs w:val="0"/>
              <w:caps w:val="0"/>
              <w:w w:val="100"/>
              <w:kern w:val="0"/>
              <w:sz w:val="32"/>
              <w:szCs w:val="32"/>
              <w:u w:val="single"/>
            </w:rPr>
            <w:fldChar w:fldCharType="end"/>
          </w:r>
        </w:p>
        <w:p>
          <w:pPr>
            <w:pStyle w:val="22"/>
            <w:tabs>
              <w:tab w:val="right" w:leader="dot" w:pos="8845"/>
            </w:tabs>
            <w:spacing w:before="0"/>
            <w:rPr>
              <w:rFonts w:ascii="Times New Roman" w:hAnsi="Times New Roman"/>
            </w:rPr>
          </w:pPr>
          <w:r>
            <w:fldChar w:fldCharType="begin"/>
          </w:r>
          <w:r>
            <w:instrText xml:space="preserve"> HYPERLINK \l "_Toc21628" </w:instrText>
          </w:r>
          <w:r>
            <w:fldChar w:fldCharType="separate"/>
          </w:r>
          <w:r>
            <w:rPr>
              <w:rFonts w:ascii="Times New Roman" w:hAnsi="Times New Roman" w:eastAsia="黑体"/>
              <w:b w:val="0"/>
              <w:bCs w:val="0"/>
              <w:caps w:val="0"/>
              <w:w w:val="100"/>
              <w:kern w:val="0"/>
              <w:sz w:val="32"/>
              <w:szCs w:val="32"/>
              <w:u w:val="single"/>
            </w:rPr>
            <w:t>七、附件</w:t>
          </w:r>
          <w:r>
            <w:rPr>
              <w:rFonts w:ascii="Times New Roman" w:hAnsi="Times New Roman" w:eastAsia="黑体"/>
              <w:b w:val="0"/>
              <w:bCs w:val="0"/>
              <w:caps w:val="0"/>
              <w:w w:val="100"/>
              <w:kern w:val="0"/>
              <w:sz w:val="32"/>
              <w:szCs w:val="32"/>
              <w:u w:val="single"/>
            </w:rPr>
            <w:tab/>
          </w:r>
          <w:r>
            <w:rPr>
              <w:rFonts w:ascii="Times New Roman" w:hAnsi="Times New Roman" w:eastAsia="黑体"/>
              <w:b w:val="0"/>
              <w:bCs w:val="0"/>
              <w:caps w:val="0"/>
              <w:w w:val="100"/>
              <w:kern w:val="0"/>
              <w:sz w:val="32"/>
              <w:szCs w:val="32"/>
              <w:u w:val="single"/>
            </w:rPr>
            <w:fldChar w:fldCharType="begin"/>
          </w:r>
          <w:r>
            <w:rPr>
              <w:rFonts w:ascii="Times New Roman" w:hAnsi="Times New Roman" w:eastAsia="黑体"/>
              <w:b w:val="0"/>
              <w:bCs w:val="0"/>
              <w:caps w:val="0"/>
              <w:w w:val="100"/>
              <w:kern w:val="0"/>
              <w:sz w:val="32"/>
              <w:szCs w:val="32"/>
              <w:u w:val="single"/>
            </w:rPr>
            <w:instrText xml:space="preserve"> PAGEREF _Toc21628 \h </w:instrText>
          </w:r>
          <w:r>
            <w:rPr>
              <w:rFonts w:ascii="Times New Roman" w:hAnsi="Times New Roman" w:eastAsia="黑体"/>
              <w:b w:val="0"/>
              <w:bCs w:val="0"/>
              <w:caps w:val="0"/>
              <w:w w:val="100"/>
              <w:kern w:val="0"/>
              <w:sz w:val="32"/>
              <w:szCs w:val="32"/>
              <w:u w:val="single"/>
            </w:rPr>
            <w:fldChar w:fldCharType="separate"/>
          </w:r>
          <w:r>
            <w:rPr>
              <w:rFonts w:ascii="Times New Roman" w:hAnsi="Times New Roman" w:eastAsia="黑体"/>
              <w:b w:val="0"/>
              <w:bCs w:val="0"/>
              <w:caps w:val="0"/>
              <w:w w:val="100"/>
              <w:kern w:val="0"/>
              <w:sz w:val="32"/>
              <w:szCs w:val="32"/>
              <w:u w:val="single"/>
            </w:rPr>
            <w:t>25</w:t>
          </w:r>
          <w:r>
            <w:rPr>
              <w:rFonts w:ascii="Times New Roman" w:hAnsi="Times New Roman" w:eastAsia="黑体"/>
              <w:b w:val="0"/>
              <w:bCs w:val="0"/>
              <w:caps w:val="0"/>
              <w:w w:val="100"/>
              <w:kern w:val="0"/>
              <w:sz w:val="32"/>
              <w:szCs w:val="32"/>
              <w:u w:val="single"/>
            </w:rPr>
            <w:fldChar w:fldCharType="end"/>
          </w:r>
          <w:r>
            <w:rPr>
              <w:rFonts w:ascii="Times New Roman" w:hAnsi="Times New Roman" w:eastAsia="黑体"/>
              <w:b w:val="0"/>
              <w:bCs w:val="0"/>
              <w:caps w:val="0"/>
              <w:w w:val="100"/>
              <w:kern w:val="0"/>
              <w:sz w:val="32"/>
              <w:szCs w:val="32"/>
              <w:u w:val="single"/>
            </w:rPr>
            <w:fldChar w:fldCharType="end"/>
          </w:r>
        </w:p>
        <w:p>
          <w:pPr>
            <w:ind w:firstLine="643"/>
            <w:jc w:val="center"/>
            <w:rPr>
              <w:rFonts w:ascii="Times New Roman Regular" w:hAnsi="Times New Roman Regular" w:cs="Times New Roman Regular"/>
              <w:bCs/>
            </w:rPr>
          </w:pPr>
          <w:r>
            <w:rPr>
              <w:rFonts w:ascii="Times New Roman Regular" w:hAnsi="Times New Roman Regular" w:cs="Times New Roman Regular"/>
              <w:bCs/>
            </w:rPr>
            <w:fldChar w:fldCharType="end"/>
          </w:r>
        </w:p>
      </w:sdtContent>
    </w:sdt>
    <w:p>
      <w:pPr>
        <w:ind w:firstLine="643"/>
        <w:jc w:val="center"/>
        <w:rPr>
          <w:rFonts w:ascii="Times New Roman Regular" w:hAnsi="Times New Roman Regular" w:cs="Times New Roman Regular"/>
          <w:bCs/>
        </w:rPr>
      </w:pPr>
    </w:p>
    <w:p>
      <w:pPr>
        <w:ind w:firstLine="643"/>
        <w:jc w:val="center"/>
        <w:rPr>
          <w:rFonts w:ascii="Times New Roman Regular" w:hAnsi="Times New Roman Regular" w:cs="Times New Roman Regular"/>
          <w:b/>
          <w:bCs/>
        </w:rPr>
        <w:sectPr>
          <w:headerReference r:id="rId6" w:type="first"/>
          <w:footerReference r:id="rId8" w:type="first"/>
          <w:headerReference r:id="rId4" w:type="default"/>
          <w:headerReference r:id="rId5" w:type="even"/>
          <w:footerReference r:id="rId7" w:type="even"/>
          <w:pgSz w:w="11906" w:h="16838"/>
          <w:pgMar w:top="2098" w:right="1474" w:bottom="1984" w:left="1587" w:header="851" w:footer="992" w:gutter="0"/>
          <w:cols w:space="425" w:num="1"/>
          <w:docGrid w:type="lines" w:linePitch="312" w:charSpace="0"/>
        </w:sectPr>
      </w:pPr>
    </w:p>
    <w:p>
      <w:pPr>
        <w:adjustRightInd w:val="0"/>
        <w:snapToGrid w:val="0"/>
        <w:spacing w:line="560" w:lineRule="exact"/>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北京市经济和信息化局</w:t>
      </w:r>
    </w:p>
    <w:p>
      <w:pPr>
        <w:adjustRightInd w:val="0"/>
        <w:snapToGrid w:val="0"/>
        <w:spacing w:line="560" w:lineRule="exact"/>
        <w:jc w:val="center"/>
        <w:rPr>
          <w:rFonts w:hint="eastAsia" w:ascii="宋体" w:hAnsi="宋体" w:cs="宋体"/>
          <w:b/>
          <w:sz w:val="44"/>
          <w:szCs w:val="44"/>
        </w:rPr>
      </w:pPr>
      <w:r>
        <w:rPr>
          <w:rFonts w:hint="eastAsia" w:ascii="Times New Roman" w:hAnsi="Times New Roman" w:eastAsia="方正小标宋简体" w:cs="方正小标宋简体"/>
          <w:b/>
          <w:sz w:val="44"/>
          <w:szCs w:val="44"/>
        </w:rPr>
        <w:t>2024年度</w:t>
      </w:r>
      <w:r>
        <w:rPr>
          <w:rFonts w:hint="eastAsia" w:ascii="方正小标宋简体" w:hAnsi="方正小标宋简体" w:eastAsia="方正小标宋简体" w:cs="方正小标宋简体"/>
          <w:b/>
          <w:sz w:val="44"/>
          <w:szCs w:val="44"/>
        </w:rPr>
        <w:t>部门整体绩效评价报告</w:t>
      </w:r>
    </w:p>
    <w:p>
      <w:pPr>
        <w:pStyle w:val="3"/>
        <w:adjustRightInd w:val="0"/>
        <w:snapToGrid w:val="0"/>
        <w:spacing w:before="0" w:after="0" w:line="560" w:lineRule="exact"/>
        <w:ind w:firstLine="640" w:firstLineChars="200"/>
        <w:rPr>
          <w:rFonts w:hint="eastAsia" w:ascii="黑体" w:hAnsi="黑体" w:eastAsia="黑体"/>
          <w:b w:val="0"/>
          <w:bCs w:val="0"/>
        </w:rPr>
      </w:pPr>
    </w:p>
    <w:p>
      <w:pPr>
        <w:pStyle w:val="2"/>
        <w:keepNext w:val="0"/>
        <w:keepLines w:val="0"/>
        <w:spacing w:before="0" w:after="0" w:line="560" w:lineRule="exact"/>
        <w:ind w:firstLine="640" w:firstLineChars="200"/>
        <w:rPr>
          <w:rFonts w:hint="eastAsia" w:ascii="黑体" w:hAnsi="黑体" w:eastAsia="黑体"/>
          <w:b w:val="0"/>
          <w:bCs w:val="0"/>
          <w:sz w:val="32"/>
          <w:szCs w:val="32"/>
        </w:rPr>
      </w:pPr>
      <w:bookmarkStart w:id="0" w:name="_Toc282"/>
      <w:bookmarkStart w:id="1" w:name="_Toc17853"/>
      <w:r>
        <w:rPr>
          <w:rFonts w:hint="eastAsia" w:ascii="黑体" w:hAnsi="黑体" w:eastAsia="黑体"/>
          <w:b w:val="0"/>
          <w:bCs w:val="0"/>
          <w:sz w:val="32"/>
          <w:szCs w:val="32"/>
        </w:rPr>
        <w:t>一、部门概况</w:t>
      </w:r>
      <w:bookmarkEnd w:id="0"/>
      <w:bookmarkEnd w:id="1"/>
    </w:p>
    <w:p>
      <w:pPr>
        <w:pStyle w:val="3"/>
        <w:keepNext w:val="0"/>
        <w:keepLines w:val="0"/>
        <w:spacing w:before="0" w:after="0" w:line="560" w:lineRule="exact"/>
        <w:ind w:firstLine="640" w:firstLineChars="200"/>
        <w:rPr>
          <w:rFonts w:hint="eastAsia" w:ascii="楷体" w:hAnsi="楷体" w:eastAsia="楷体"/>
          <w:b w:val="0"/>
          <w:bCs w:val="0"/>
        </w:rPr>
      </w:pPr>
      <w:bookmarkStart w:id="2" w:name="_Toc13958"/>
      <w:bookmarkStart w:id="3" w:name="_Toc24277"/>
      <w:r>
        <w:rPr>
          <w:rFonts w:hint="eastAsia" w:ascii="楷体" w:hAnsi="楷体" w:eastAsia="楷体"/>
          <w:b w:val="0"/>
          <w:bCs w:val="0"/>
        </w:rPr>
        <w:t>（一）机构设置及职责工作任务情况</w:t>
      </w:r>
      <w:bookmarkEnd w:id="2"/>
      <w:bookmarkEnd w:id="3"/>
    </w:p>
    <w:p>
      <w:pPr>
        <w:spacing w:line="560" w:lineRule="exact"/>
        <w:ind w:firstLine="640" w:firstLineChars="200"/>
        <w:rPr>
          <w:rFonts w:ascii="Times New Roman" w:hAnsi="Times New Roman" w:eastAsia="仿宋_GB2312"/>
          <w:bCs/>
          <w:color w:val="000000"/>
          <w:sz w:val="32"/>
          <w:szCs w:val="32"/>
        </w:rPr>
      </w:pPr>
      <w:r>
        <w:rPr>
          <w:rFonts w:ascii="Times New Roman" w:hAnsi="Times New Roman" w:eastAsia="仿宋_GB2312"/>
          <w:sz w:val="32"/>
          <w:szCs w:val="32"/>
        </w:rPr>
        <w:t>根据北京市委办公厅印发的《北京市经济和信息化局职能配置、内设机构和人员编制规定》（京办字〔2019〕18号）</w:t>
      </w:r>
      <w:r>
        <w:rPr>
          <w:rFonts w:hint="eastAsia" w:ascii="Times New Roman" w:hAnsi="Times New Roman" w:eastAsia="仿宋_GB2312"/>
          <w:sz w:val="32"/>
          <w:szCs w:val="32"/>
        </w:rPr>
        <w:t>、</w:t>
      </w:r>
      <w:r>
        <w:rPr>
          <w:rFonts w:ascii="Times New Roman" w:hAnsi="Times New Roman" w:eastAsia="仿宋_GB2312"/>
          <w:sz w:val="32"/>
          <w:szCs w:val="32"/>
        </w:rPr>
        <w:t>《中共北京市委机构编制委员会办公室关于调整市经济和信息化局机构编制的批复》（京编办复〔2024〕175号），北京市经济和信息化局</w:t>
      </w:r>
      <w:r>
        <w:rPr>
          <w:rFonts w:hint="eastAsia" w:ascii="Times New Roman" w:hAnsi="Times New Roman" w:eastAsia="仿宋_GB2312"/>
          <w:sz w:val="32"/>
          <w:szCs w:val="32"/>
        </w:rPr>
        <w:t>（以下简称“市经信局”）</w:t>
      </w:r>
      <w:r>
        <w:rPr>
          <w:rFonts w:hint="eastAsia" w:ascii="Times New Roman" w:hAnsi="Times New Roman" w:eastAsia="仿宋_GB2312"/>
          <w:bCs/>
          <w:color w:val="000000"/>
          <w:sz w:val="32"/>
          <w:szCs w:val="32"/>
        </w:rPr>
        <w:t>贯彻落实党中央关于工业、软件和信息服务业、信息化方面的方针政策、决策部署和市委有关工作要求，在履行职责过程中坚持和加强党对工业、软件和信息服务业、信息化的集中统一领导。</w:t>
      </w:r>
      <w:r>
        <w:rPr>
          <w:rFonts w:ascii="Times New Roman" w:hAnsi="Times New Roman" w:eastAsia="仿宋_GB2312"/>
          <w:bCs/>
          <w:color w:val="000000"/>
          <w:sz w:val="32"/>
          <w:szCs w:val="32"/>
        </w:rPr>
        <w:t>主要职责是：</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w:t>
      </w:r>
      <w:r>
        <w:rPr>
          <w:rFonts w:ascii="Times New Roman" w:hAnsi="Times New Roman" w:eastAsia="仿宋_GB2312"/>
          <w:bCs/>
          <w:color w:val="000000"/>
          <w:sz w:val="32"/>
          <w:szCs w:val="32"/>
        </w:rPr>
        <w:t>起草本市相关地方性法规草案、政府规章草案，并组织实施。</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2.</w:t>
      </w:r>
      <w:r>
        <w:rPr>
          <w:rFonts w:ascii="Times New Roman" w:hAnsi="Times New Roman" w:eastAsia="仿宋_GB2312"/>
          <w:bCs/>
          <w:color w:val="000000"/>
          <w:sz w:val="32"/>
          <w:szCs w:val="32"/>
        </w:rPr>
        <w:t>研究拟订并组织实施本市工业、软件和信息服务业发展规划和产业政策，推进产业布局调整和产业结构优化升级。</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3.</w:t>
      </w:r>
      <w:r>
        <w:rPr>
          <w:rFonts w:ascii="Times New Roman" w:hAnsi="Times New Roman" w:eastAsia="仿宋_GB2312"/>
          <w:bCs/>
          <w:color w:val="000000"/>
          <w:sz w:val="32"/>
          <w:szCs w:val="32"/>
        </w:rPr>
        <w:t>监测分析本市工业、软件和信息服务业、信息化的运行态势，统计并发布相关信息。协调解决产业运行和发展中的有关问题，并提出政策建议。</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4.</w:t>
      </w:r>
      <w:r>
        <w:rPr>
          <w:rFonts w:ascii="Times New Roman" w:hAnsi="Times New Roman" w:eastAsia="仿宋_GB2312"/>
          <w:bCs/>
          <w:color w:val="000000"/>
          <w:sz w:val="32"/>
          <w:szCs w:val="32"/>
        </w:rPr>
        <w:t>按照规定权限，核准、备案和上报本市规划内和年度计划内工业和信息化领域固定资产投资项目。会同有关部门研究提出工业、软件和信息服务业方面利用外资和境外投资的重点领域和促进政策。</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5.</w:t>
      </w:r>
      <w:r>
        <w:rPr>
          <w:rFonts w:ascii="Times New Roman" w:hAnsi="Times New Roman" w:eastAsia="仿宋_GB2312"/>
          <w:bCs/>
          <w:color w:val="000000"/>
          <w:sz w:val="32"/>
          <w:szCs w:val="32"/>
        </w:rPr>
        <w:t>指导本市工业、软件和信息服务业、信息化技术创新和技术进步，推进企业技术改造。组织实施国家及本市工业、软件和信息服务业、信息化科技重大专项，推进相关科研成果产业化。指导相关行业质量管理工作</w:t>
      </w:r>
      <w:r>
        <w:rPr>
          <w:rFonts w:hint="eastAsia" w:ascii="Times New Roman" w:hAnsi="Times New Roman" w:eastAsia="仿宋_GB2312"/>
          <w:bCs/>
          <w:color w:val="000000"/>
          <w:sz w:val="32"/>
          <w:szCs w:val="32"/>
        </w:rPr>
        <w:t>。</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6.</w:t>
      </w:r>
      <w:r>
        <w:rPr>
          <w:rFonts w:ascii="Times New Roman" w:hAnsi="Times New Roman" w:eastAsia="仿宋_GB2312"/>
          <w:bCs/>
          <w:color w:val="000000"/>
          <w:sz w:val="32"/>
          <w:szCs w:val="32"/>
        </w:rPr>
        <w:t>拟订本市高技术创造业、软件和信息服务业、新兴产业中重点领域的发展规划、实施方案、配套政策及行业标准，并组织实施。参与推进相关领域文化创意产业的发展。</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7.</w:t>
      </w:r>
      <w:r>
        <w:rPr>
          <w:rFonts w:ascii="Times New Roman" w:hAnsi="Times New Roman" w:eastAsia="仿宋_GB2312"/>
          <w:bCs/>
          <w:color w:val="000000"/>
          <w:sz w:val="32"/>
          <w:szCs w:val="32"/>
        </w:rPr>
        <w:t>承担振兴本市装备制造业组织协调的责任。组织拟订重大技术装备发展和自主创新规划、政策。依托国家及本市重点工程建设推进重大技术装备国产化。指导引进重大技术装备的消化创新。</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8.</w:t>
      </w:r>
      <w:r>
        <w:rPr>
          <w:rFonts w:ascii="Times New Roman" w:hAnsi="Times New Roman" w:eastAsia="仿宋_GB2312"/>
          <w:bCs/>
          <w:color w:val="000000"/>
          <w:sz w:val="32"/>
          <w:szCs w:val="32"/>
        </w:rPr>
        <w:t>拟订并组织实施本市工业、软件和信息服务业、信息化领域的能源节约和资源综合利用、清洁生产促进政策。参与拟订能源节约和资源综合利用、清洁生产促进规划。组织协调相关重大示范工程和新产品、新技术、新设备、新材料的推广应用。</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9.</w:t>
      </w:r>
      <w:r>
        <w:rPr>
          <w:rFonts w:ascii="Times New Roman" w:hAnsi="Times New Roman" w:eastAsia="仿宋_GB2312"/>
          <w:bCs/>
          <w:color w:val="000000"/>
          <w:sz w:val="32"/>
          <w:szCs w:val="32"/>
        </w:rPr>
        <w:t>指导和促进本市中小企业发展。会同有关部门拟订促进中小企业发展和非国有经济发展的相关政策和措施，协调解决有关重大问题。建立和完善中小企业服务体系。负责城镇集体企业清产核资相关工作。</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10.</w:t>
      </w:r>
      <w:r>
        <w:rPr>
          <w:rFonts w:ascii="Times New Roman" w:hAnsi="Times New Roman" w:eastAsia="仿宋_GB2312"/>
          <w:bCs/>
          <w:color w:val="000000"/>
          <w:sz w:val="32"/>
          <w:szCs w:val="32"/>
        </w:rPr>
        <w:t>指导和协调本市工业开发区的建设与发展，促进工业产业基地建设。负责镇村产业生产集中地农民就业产业基地、建设。指导镇村产业发展。</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11.</w:t>
      </w:r>
      <w:r>
        <w:rPr>
          <w:rFonts w:ascii="Times New Roman" w:hAnsi="Times New Roman" w:eastAsia="仿宋_GB2312"/>
          <w:bCs/>
          <w:color w:val="000000"/>
          <w:sz w:val="32"/>
          <w:szCs w:val="32"/>
        </w:rPr>
        <w:t>统筹协调本市信息化基础设施的规划和管理。参与统筹规划公用通信网、互联网、广播电视网和部门专用通信网。负责与国家通信主干网等专用通信网方面的协调工作。促进电信网络、广播电视网络和计算机网络融合。承担北京市通信保障应急指挥部的具体工作。</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12.</w:t>
      </w:r>
      <w:r>
        <w:rPr>
          <w:rFonts w:ascii="Times New Roman" w:hAnsi="Times New Roman" w:eastAsia="仿宋_GB2312"/>
          <w:bCs/>
          <w:color w:val="000000"/>
          <w:sz w:val="32"/>
          <w:szCs w:val="32"/>
        </w:rPr>
        <w:t>统筹协调社会信用体系建设。</w:t>
      </w:r>
    </w:p>
    <w:p>
      <w:pPr>
        <w:spacing w:line="560" w:lineRule="exact"/>
        <w:ind w:firstLine="640" w:firstLineChars="200"/>
        <w:rPr>
          <w:rFonts w:ascii="Times New Roman" w:hAnsi="Times New Roman" w:eastAsia="仿宋_GB2312"/>
          <w:bCs/>
          <w:strike/>
          <w:color w:val="000000"/>
          <w:sz w:val="32"/>
          <w:szCs w:val="32"/>
        </w:rPr>
      </w:pPr>
      <w:r>
        <w:rPr>
          <w:rFonts w:hint="eastAsia" w:ascii="Times New Roman" w:hAnsi="Times New Roman" w:eastAsia="仿宋_GB2312"/>
          <w:bCs/>
          <w:color w:val="000000"/>
          <w:sz w:val="32"/>
          <w:szCs w:val="32"/>
        </w:rPr>
        <w:t>13.</w:t>
      </w:r>
      <w:r>
        <w:rPr>
          <w:rFonts w:ascii="Times New Roman" w:hAnsi="Times New Roman" w:eastAsia="仿宋_GB2312"/>
          <w:bCs/>
          <w:color w:val="000000"/>
          <w:sz w:val="32"/>
          <w:szCs w:val="32"/>
        </w:rPr>
        <w:t>指导本市工业、软件和信息服务业安全生产管理工作。负责拟订本市工业控制系统网络与信息安全规划、政策、标准，并组织实施。</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14.</w:t>
      </w:r>
      <w:r>
        <w:rPr>
          <w:rFonts w:ascii="Times New Roman" w:hAnsi="Times New Roman" w:eastAsia="仿宋_GB2312"/>
          <w:bCs/>
          <w:color w:val="000000"/>
          <w:sz w:val="32"/>
          <w:szCs w:val="32"/>
        </w:rPr>
        <w:t>负责本市无线电管理工作。负责对无线电频率资源和无线电台站、进行统一规划和管理。负责研制、生产、进口无线电发射设备的审核工作。协调处理电磁干扰事宜，维护空中电波秩序。</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15.</w:t>
      </w:r>
      <w:r>
        <w:rPr>
          <w:rFonts w:ascii="Times New Roman" w:hAnsi="Times New Roman" w:eastAsia="仿宋_GB2312"/>
          <w:bCs/>
          <w:color w:val="000000"/>
          <w:sz w:val="32"/>
          <w:szCs w:val="32"/>
        </w:rPr>
        <w:t>组织协调北京地区武器装备科研生产的重大事项，保障军工核心能力建设，推进军民融合。协调推进本市航空航天产业发展。承担北京市核应急指挥部的具体工作。</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16.</w:t>
      </w:r>
      <w:r>
        <w:rPr>
          <w:rFonts w:ascii="Times New Roman" w:hAnsi="Times New Roman" w:eastAsia="仿宋_GB2312"/>
          <w:bCs/>
          <w:color w:val="000000"/>
          <w:sz w:val="32"/>
          <w:szCs w:val="32"/>
        </w:rPr>
        <w:t>开展本市工业、软件和信息服务业领域对外合作与交流。</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17.</w:t>
      </w:r>
      <w:r>
        <w:rPr>
          <w:rFonts w:ascii="Times New Roman" w:hAnsi="Times New Roman" w:eastAsia="仿宋_GB2312"/>
          <w:bCs/>
          <w:color w:val="000000"/>
          <w:sz w:val="32"/>
          <w:szCs w:val="32"/>
        </w:rPr>
        <w:t>负责本市工业、软件和信息服务业领域人力资源的合理配置，会同有关部门拟订人才队伍建设规划和有关政策措施，组织相关人才培训。</w:t>
      </w:r>
    </w:p>
    <w:p>
      <w:pPr>
        <w:spacing w:line="560" w:lineRule="exac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18.</w:t>
      </w:r>
      <w:r>
        <w:rPr>
          <w:rFonts w:ascii="Times New Roman" w:hAnsi="Times New Roman" w:eastAsia="仿宋_GB2312"/>
          <w:bCs/>
          <w:color w:val="000000"/>
          <w:sz w:val="32"/>
          <w:szCs w:val="32"/>
        </w:rPr>
        <w:t>完成市委、市政府交办的其他事项</w:t>
      </w:r>
      <w:r>
        <w:rPr>
          <w:rFonts w:hint="eastAsia" w:ascii="Times New Roman" w:hAnsi="Times New Roman" w:eastAsia="仿宋_GB2312"/>
          <w:bCs/>
          <w:color w:val="000000"/>
          <w:sz w:val="32"/>
          <w:szCs w:val="32"/>
        </w:rPr>
        <w:t>。</w:t>
      </w:r>
    </w:p>
    <w:p>
      <w:pPr>
        <w:pStyle w:val="3"/>
        <w:keepNext w:val="0"/>
        <w:keepLines w:val="0"/>
        <w:spacing w:before="0" w:after="0" w:line="560" w:lineRule="exact"/>
        <w:ind w:firstLine="640" w:firstLineChars="200"/>
        <w:rPr>
          <w:rFonts w:hint="eastAsia" w:ascii="楷体" w:hAnsi="楷体" w:eastAsia="楷体"/>
          <w:b w:val="0"/>
          <w:bCs w:val="0"/>
        </w:rPr>
      </w:pPr>
      <w:bookmarkStart w:id="4" w:name="_Toc8147"/>
      <w:bookmarkStart w:id="5" w:name="_Toc14141"/>
      <w:r>
        <w:rPr>
          <w:rFonts w:hint="eastAsia" w:ascii="楷体" w:hAnsi="楷体" w:eastAsia="楷体"/>
          <w:b w:val="0"/>
          <w:bCs w:val="0"/>
        </w:rPr>
        <w:t>（二）部门整体绩效目标设立情况</w:t>
      </w:r>
      <w:bookmarkEnd w:id="4"/>
      <w:bookmarkEnd w:id="5"/>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bCs/>
          <w:sz w:val="32"/>
          <w:szCs w:val="32"/>
        </w:rPr>
        <w:t>市经信局</w:t>
      </w:r>
      <w:r>
        <w:rPr>
          <w:rFonts w:ascii="Times New Roman" w:hAnsi="Times New Roman" w:eastAsia="仿宋_GB2312"/>
          <w:bCs/>
          <w:sz w:val="32"/>
          <w:szCs w:val="32"/>
        </w:rPr>
        <w:t>结合部门职责、</w:t>
      </w:r>
      <w:r>
        <w:rPr>
          <w:rFonts w:hint="eastAsia" w:ascii="Times New Roman" w:hAnsi="Times New Roman" w:eastAsia="仿宋_GB2312"/>
          <w:bCs/>
          <w:sz w:val="32"/>
          <w:szCs w:val="32"/>
        </w:rPr>
        <w:t>2024年</w:t>
      </w:r>
      <w:r>
        <w:rPr>
          <w:rFonts w:ascii="Times New Roman" w:hAnsi="Times New Roman" w:eastAsia="仿宋_GB2312"/>
          <w:bCs/>
          <w:sz w:val="32"/>
          <w:szCs w:val="32"/>
        </w:rPr>
        <w:t>重点工作任务及财政资金分配使用计划，制定了《北京市经济和信息化局</w:t>
      </w:r>
      <w:r>
        <w:rPr>
          <w:rFonts w:hint="eastAsia" w:ascii="Times New Roman" w:hAnsi="Times New Roman" w:eastAsia="仿宋_GB2312"/>
          <w:bCs/>
          <w:sz w:val="32"/>
          <w:szCs w:val="32"/>
        </w:rPr>
        <w:t>2024年</w:t>
      </w:r>
      <w:r>
        <w:rPr>
          <w:rFonts w:ascii="Times New Roman" w:hAnsi="Times New Roman" w:eastAsia="仿宋_GB2312"/>
          <w:bCs/>
          <w:sz w:val="32"/>
          <w:szCs w:val="32"/>
        </w:rPr>
        <w:t>部门整体支</w:t>
      </w:r>
      <w:r>
        <w:rPr>
          <w:rFonts w:ascii="Times New Roman" w:hAnsi="Times New Roman" w:eastAsia="仿宋_GB2312"/>
          <w:sz w:val="32"/>
          <w:szCs w:val="32"/>
        </w:rPr>
        <w:t>出绩效目标申报表》，明确了部门总体绩效目标：按照工业和信息化产业发展相关规划要求和市委市政府关于推进我市工业和信息化产业发展的相关工作部署，结合首都功能定位，优化产业结构，促进现代制造业等高端产业发展，构建</w:t>
      </w:r>
      <w:r>
        <w:rPr>
          <w:rFonts w:hint="eastAsia" w:ascii="Times New Roman" w:hAnsi="Times New Roman" w:eastAsia="仿宋_GB2312"/>
          <w:sz w:val="32"/>
          <w:szCs w:val="32"/>
        </w:rPr>
        <w:t>“</w:t>
      </w:r>
      <w:r>
        <w:rPr>
          <w:rFonts w:ascii="Times New Roman" w:hAnsi="Times New Roman" w:eastAsia="仿宋_GB2312"/>
          <w:sz w:val="32"/>
          <w:szCs w:val="32"/>
        </w:rPr>
        <w:t>高精尖</w:t>
      </w:r>
      <w:r>
        <w:rPr>
          <w:rFonts w:hint="eastAsia" w:ascii="Times New Roman" w:hAnsi="Times New Roman" w:eastAsia="仿宋_GB2312"/>
          <w:sz w:val="32"/>
          <w:szCs w:val="32"/>
        </w:rPr>
        <w:t>”</w:t>
      </w:r>
      <w:r>
        <w:rPr>
          <w:rFonts w:ascii="Times New Roman" w:hAnsi="Times New Roman" w:eastAsia="仿宋_GB2312"/>
          <w:sz w:val="32"/>
          <w:szCs w:val="32"/>
        </w:rPr>
        <w:t>产业体系</w:t>
      </w:r>
      <w:r>
        <w:rPr>
          <w:rFonts w:hint="eastAsia" w:ascii="Times New Roman" w:hAnsi="Times New Roman" w:eastAsia="仿宋_GB2312"/>
          <w:sz w:val="32"/>
          <w:szCs w:val="32"/>
        </w:rPr>
        <w:t>，</w:t>
      </w:r>
      <w:r>
        <w:rPr>
          <w:rFonts w:ascii="Times New Roman" w:hAnsi="Times New Roman" w:eastAsia="仿宋_GB2312"/>
          <w:sz w:val="32"/>
          <w:szCs w:val="32"/>
        </w:rPr>
        <w:t>建立和完善中小企业服务体系，加快推进本市信息化建设，加快推进信息化和工业化融合，调整产业布局，推进京津冀产业协同，保持首都工业和信息服务业平稳发展。</w:t>
      </w:r>
    </w:p>
    <w:p>
      <w:pPr>
        <w:spacing w:line="560" w:lineRule="exact"/>
        <w:ind w:firstLine="640" w:firstLineChars="200"/>
        <w:rPr>
          <w:rFonts w:ascii="Times New Roman" w:hAnsi="Times New Roman" w:eastAsia="仿宋_GB2312"/>
          <w:bCs/>
          <w:sz w:val="32"/>
          <w:szCs w:val="32"/>
        </w:rPr>
      </w:pPr>
      <w:r>
        <w:rPr>
          <w:rFonts w:ascii="Times New Roman" w:hAnsi="Times New Roman" w:eastAsia="仿宋_GB2312"/>
          <w:sz w:val="32"/>
          <w:szCs w:val="32"/>
        </w:rPr>
        <w:t>根据总体目标并结合工作重点，从北京高精尖产业发展、</w:t>
      </w:r>
      <w:r>
        <w:rPr>
          <w:rFonts w:hint="eastAsia" w:ascii="Times New Roman" w:hAnsi="Times New Roman" w:eastAsia="仿宋_GB2312"/>
          <w:sz w:val="32"/>
          <w:szCs w:val="32"/>
        </w:rPr>
        <w:t>运行监测、</w:t>
      </w:r>
      <w:r>
        <w:rPr>
          <w:rFonts w:ascii="Times New Roman" w:hAnsi="Times New Roman" w:eastAsia="仿宋_GB2312"/>
          <w:sz w:val="32"/>
          <w:szCs w:val="32"/>
        </w:rPr>
        <w:t>统筹推进数字经济</w:t>
      </w:r>
      <w:r>
        <w:rPr>
          <w:rFonts w:hint="eastAsia" w:ascii="Times New Roman" w:hAnsi="Times New Roman" w:eastAsia="仿宋_GB2312"/>
          <w:sz w:val="32"/>
          <w:szCs w:val="32"/>
        </w:rPr>
        <w:t>发展</w:t>
      </w:r>
      <w:r>
        <w:rPr>
          <w:rFonts w:ascii="Times New Roman" w:hAnsi="Times New Roman" w:eastAsia="仿宋_GB2312"/>
          <w:sz w:val="32"/>
          <w:szCs w:val="32"/>
        </w:rPr>
        <w:t>、绿色环保支持、中小企业发展扶持、信用</w:t>
      </w:r>
      <w:r>
        <w:rPr>
          <w:rFonts w:hint="eastAsia" w:ascii="Times New Roman" w:hAnsi="Times New Roman" w:eastAsia="仿宋_GB2312"/>
          <w:sz w:val="32"/>
          <w:szCs w:val="32"/>
        </w:rPr>
        <w:t>监管服务优化、</w:t>
      </w:r>
      <w:r>
        <w:rPr>
          <w:rFonts w:ascii="Times New Roman" w:hAnsi="Times New Roman" w:eastAsia="仿宋_GB2312"/>
          <w:sz w:val="32"/>
          <w:szCs w:val="32"/>
        </w:rPr>
        <w:t>工艺美术产业发展等方面设定了绩效指标，指标设定与全局职能任务相匹配，符合相关法律法规的要求及部门整体支出的客观实际，目标依据充分，具有一定的可操作性和可实现性。</w:t>
      </w:r>
    </w:p>
    <w:p>
      <w:pPr>
        <w:pStyle w:val="2"/>
        <w:keepNext w:val="0"/>
        <w:keepLines w:val="0"/>
        <w:spacing w:before="0" w:after="0" w:line="560" w:lineRule="exact"/>
        <w:ind w:firstLine="640" w:firstLineChars="200"/>
        <w:rPr>
          <w:rFonts w:hint="eastAsia" w:ascii="黑体" w:hAnsi="黑体" w:eastAsia="黑体"/>
          <w:b w:val="0"/>
          <w:bCs w:val="0"/>
          <w:sz w:val="32"/>
          <w:szCs w:val="32"/>
        </w:rPr>
      </w:pPr>
      <w:bookmarkStart w:id="6" w:name="_Toc27064"/>
      <w:bookmarkStart w:id="7" w:name="_Toc23060"/>
      <w:r>
        <w:rPr>
          <w:rFonts w:hint="eastAsia" w:ascii="黑体" w:hAnsi="黑体" w:eastAsia="黑体"/>
          <w:b w:val="0"/>
          <w:bCs w:val="0"/>
          <w:sz w:val="32"/>
          <w:szCs w:val="32"/>
        </w:rPr>
        <w:t>二、当年预算执行情况</w:t>
      </w:r>
      <w:bookmarkEnd w:id="6"/>
      <w:bookmarkEnd w:id="7"/>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2024年，北京市财政局年初批复市经信局预算数为466,455.70万元。其中，基本支出25,385.55万元，占比5.44%；项目支出441,070.15万元，占比94.56%。</w:t>
      </w:r>
    </w:p>
    <w:p>
      <w:pPr>
        <w:spacing w:line="560" w:lineRule="exact"/>
        <w:ind w:firstLine="640" w:firstLineChars="200"/>
        <w:rPr>
          <w:rFonts w:ascii="Times New Roman" w:hAnsi="Times New Roman" w:eastAsia="仿宋_GB2312"/>
          <w:sz w:val="32"/>
          <w:szCs w:val="32"/>
          <w:shd w:val="clear" w:color="FFFFFF" w:fill="D9D9D9"/>
        </w:rPr>
      </w:pPr>
      <w:r>
        <w:rPr>
          <w:rFonts w:hint="eastAsia" w:ascii="Times New Roman" w:hAnsi="Times New Roman" w:eastAsia="仿宋_GB2312"/>
          <w:sz w:val="32"/>
          <w:szCs w:val="32"/>
        </w:rPr>
        <w:t>截至2024年12月31日，市经信局调整后</w:t>
      </w:r>
      <w:r>
        <w:rPr>
          <w:rFonts w:ascii="Times New Roman" w:hAnsi="Times New Roman" w:eastAsia="仿宋_GB2312"/>
          <w:sz w:val="32"/>
          <w:szCs w:val="32"/>
        </w:rPr>
        <w:t>预算数</w:t>
      </w:r>
      <w:r>
        <w:rPr>
          <w:rFonts w:hint="eastAsia" w:ascii="Times New Roman" w:hAnsi="Times New Roman" w:eastAsia="仿宋_GB2312"/>
          <w:sz w:val="32"/>
          <w:szCs w:val="32"/>
        </w:rPr>
        <w:t>为701,192.84万元。本年支出数632,127.53万元，其中，基本支出22,985.21万元，项目支出609,142.32万元，预算执行率为90.15%。</w:t>
      </w:r>
    </w:p>
    <w:p>
      <w:pPr>
        <w:pStyle w:val="2"/>
        <w:keepNext w:val="0"/>
        <w:keepLines w:val="0"/>
        <w:tabs>
          <w:tab w:val="left" w:pos="5746"/>
        </w:tabs>
        <w:spacing w:before="0" w:after="0" w:line="560" w:lineRule="exact"/>
        <w:ind w:firstLine="640" w:firstLineChars="200"/>
        <w:rPr>
          <w:rFonts w:hint="eastAsia" w:ascii="黑体" w:hAnsi="黑体" w:eastAsia="黑体"/>
          <w:b w:val="0"/>
          <w:bCs w:val="0"/>
        </w:rPr>
      </w:pPr>
      <w:bookmarkStart w:id="8" w:name="_Toc21276"/>
      <w:bookmarkStart w:id="9" w:name="_Toc26638"/>
      <w:r>
        <w:rPr>
          <w:rFonts w:hint="eastAsia" w:ascii="黑体" w:hAnsi="黑体" w:eastAsia="黑体"/>
          <w:b w:val="0"/>
          <w:bCs w:val="0"/>
          <w:sz w:val="32"/>
          <w:szCs w:val="32"/>
        </w:rPr>
        <w:t>三、整体绩效目标实现情况</w:t>
      </w:r>
      <w:bookmarkEnd w:id="8"/>
      <w:bookmarkEnd w:id="9"/>
      <w:r>
        <w:rPr>
          <w:rFonts w:ascii="黑体" w:hAnsi="黑体" w:eastAsia="黑体"/>
          <w:b w:val="0"/>
          <w:bCs w:val="0"/>
        </w:rPr>
        <w:tab/>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5</w:t>
      </w:r>
      <w:r>
        <w:rPr>
          <w:rFonts w:ascii="Times New Roman" w:hAnsi="Times New Roman" w:eastAsia="仿宋_GB2312"/>
          <w:sz w:val="32"/>
          <w:szCs w:val="32"/>
        </w:rPr>
        <w:t>年</w:t>
      </w:r>
      <w:r>
        <w:rPr>
          <w:rFonts w:hint="eastAsia" w:ascii="Times New Roman" w:hAnsi="Times New Roman" w:eastAsia="仿宋_GB2312"/>
          <w:sz w:val="32"/>
          <w:szCs w:val="32"/>
        </w:rPr>
        <w:t>3-</w:t>
      </w:r>
      <w:r>
        <w:rPr>
          <w:rFonts w:ascii="Times New Roman" w:hAnsi="Times New Roman" w:eastAsia="仿宋_GB2312"/>
          <w:sz w:val="32"/>
          <w:szCs w:val="32"/>
        </w:rPr>
        <w:t>5月</w:t>
      </w:r>
      <w:r>
        <w:rPr>
          <w:rFonts w:hint="eastAsia" w:ascii="Times New Roman" w:hAnsi="Times New Roman" w:eastAsia="仿宋_GB2312"/>
          <w:sz w:val="32"/>
          <w:szCs w:val="32"/>
        </w:rPr>
        <w:t>，根据</w:t>
      </w:r>
      <w:r>
        <w:rPr>
          <w:rFonts w:ascii="Times New Roman" w:hAnsi="Times New Roman" w:eastAsia="仿宋_GB2312"/>
          <w:sz w:val="32"/>
          <w:szCs w:val="32"/>
        </w:rPr>
        <w:t>《</w:t>
      </w:r>
      <w:r>
        <w:rPr>
          <w:rFonts w:hint="eastAsia" w:ascii="Times New Roman" w:hAnsi="Times New Roman" w:eastAsia="仿宋_GB2312"/>
          <w:sz w:val="32"/>
          <w:szCs w:val="32"/>
        </w:rPr>
        <w:t>北京市财政局</w:t>
      </w:r>
      <w:r>
        <w:rPr>
          <w:rFonts w:ascii="Times New Roman" w:hAnsi="Times New Roman" w:eastAsia="仿宋_GB2312"/>
          <w:sz w:val="32"/>
          <w:szCs w:val="32"/>
        </w:rPr>
        <w:t>关于202</w:t>
      </w:r>
      <w:r>
        <w:rPr>
          <w:rFonts w:hint="eastAsia" w:ascii="Times New Roman" w:hAnsi="Times New Roman" w:eastAsia="仿宋_GB2312"/>
          <w:sz w:val="32"/>
          <w:szCs w:val="32"/>
        </w:rPr>
        <w:t>5</w:t>
      </w:r>
      <w:r>
        <w:rPr>
          <w:rFonts w:ascii="Times New Roman" w:hAnsi="Times New Roman" w:eastAsia="仿宋_GB2312"/>
          <w:sz w:val="32"/>
          <w:szCs w:val="32"/>
        </w:rPr>
        <w:t>年预算绩效管理工作的</w:t>
      </w:r>
      <w:r>
        <w:rPr>
          <w:rFonts w:hint="eastAsia" w:ascii="Times New Roman" w:hAnsi="Times New Roman" w:eastAsia="仿宋_GB2312"/>
          <w:sz w:val="32"/>
          <w:szCs w:val="32"/>
        </w:rPr>
        <w:t>通知</w:t>
      </w:r>
      <w:r>
        <w:rPr>
          <w:rFonts w:ascii="Times New Roman" w:hAnsi="Times New Roman" w:eastAsia="仿宋_GB2312"/>
          <w:sz w:val="32"/>
          <w:szCs w:val="32"/>
        </w:rPr>
        <w:t>》</w:t>
      </w:r>
      <w:r>
        <w:rPr>
          <w:rFonts w:hint="eastAsia" w:ascii="Times New Roman" w:hAnsi="Times New Roman" w:eastAsia="仿宋_GB2312"/>
          <w:sz w:val="32"/>
          <w:szCs w:val="32"/>
        </w:rPr>
        <w:t>（京财绩效</w:t>
      </w:r>
      <w:r>
        <w:rPr>
          <w:rFonts w:ascii="Times New Roman" w:hAnsi="Times New Roman" w:eastAsia="仿宋_GB2312"/>
          <w:sz w:val="32"/>
          <w:szCs w:val="32"/>
        </w:rPr>
        <w:t>〔20</w:t>
      </w:r>
      <w:r>
        <w:rPr>
          <w:rFonts w:hint="eastAsia" w:ascii="Times New Roman" w:hAnsi="Times New Roman" w:eastAsia="仿宋_GB2312"/>
          <w:sz w:val="32"/>
          <w:szCs w:val="32"/>
        </w:rPr>
        <w:t>25</w:t>
      </w:r>
      <w:r>
        <w:rPr>
          <w:rFonts w:ascii="Times New Roman" w:hAnsi="Times New Roman" w:eastAsia="仿宋_GB2312"/>
          <w:sz w:val="32"/>
          <w:szCs w:val="32"/>
        </w:rPr>
        <w:t>〕</w:t>
      </w:r>
      <w:r>
        <w:rPr>
          <w:rFonts w:hint="eastAsia" w:ascii="Times New Roman" w:hAnsi="Times New Roman" w:eastAsia="仿宋_GB2312"/>
          <w:sz w:val="32"/>
          <w:szCs w:val="32"/>
        </w:rPr>
        <w:t>245号）</w:t>
      </w:r>
      <w:r>
        <w:rPr>
          <w:rFonts w:ascii="Times New Roman" w:hAnsi="Times New Roman" w:eastAsia="仿宋_GB2312"/>
          <w:sz w:val="32"/>
          <w:szCs w:val="32"/>
        </w:rPr>
        <w:t>要求</w:t>
      </w:r>
      <w:r>
        <w:rPr>
          <w:rFonts w:hint="eastAsia" w:ascii="Times New Roman" w:hAnsi="Times New Roman" w:eastAsia="仿宋_GB2312"/>
          <w:sz w:val="32"/>
          <w:szCs w:val="32"/>
        </w:rPr>
        <w:t>，</w:t>
      </w:r>
      <w:r>
        <w:rPr>
          <w:rFonts w:ascii="Times New Roman" w:hAnsi="Times New Roman" w:eastAsia="仿宋_GB2312"/>
          <w:sz w:val="32"/>
          <w:szCs w:val="32"/>
        </w:rPr>
        <w:t>对</w:t>
      </w:r>
      <w:r>
        <w:rPr>
          <w:rFonts w:hint="eastAsia" w:ascii="Times New Roman" w:hAnsi="Times New Roman" w:eastAsia="仿宋_GB2312"/>
          <w:sz w:val="32"/>
          <w:szCs w:val="32"/>
        </w:rPr>
        <w:t>2024年</w:t>
      </w:r>
      <w:r>
        <w:rPr>
          <w:rFonts w:ascii="Times New Roman" w:hAnsi="Times New Roman" w:eastAsia="仿宋_GB2312"/>
          <w:sz w:val="32"/>
          <w:szCs w:val="32"/>
        </w:rPr>
        <w:t>度部门</w:t>
      </w:r>
      <w:r>
        <w:rPr>
          <w:rFonts w:hint="eastAsia" w:ascii="Times New Roman" w:hAnsi="Times New Roman" w:eastAsia="仿宋_GB2312"/>
          <w:sz w:val="32"/>
          <w:szCs w:val="32"/>
        </w:rPr>
        <w:t>整体</w:t>
      </w:r>
      <w:r>
        <w:rPr>
          <w:rFonts w:ascii="Times New Roman" w:hAnsi="Times New Roman" w:eastAsia="仿宋_GB2312"/>
          <w:sz w:val="32"/>
          <w:szCs w:val="32"/>
        </w:rPr>
        <w:t>实施绩效自评</w:t>
      </w:r>
      <w:r>
        <w:rPr>
          <w:rFonts w:hint="eastAsia" w:ascii="Times New Roman" w:hAnsi="Times New Roman" w:eastAsia="仿宋_GB2312"/>
          <w:sz w:val="32"/>
          <w:szCs w:val="32"/>
        </w:rPr>
        <w:t>。本次部门自评实现了预算项目的全覆盖，共</w:t>
      </w:r>
      <w:r>
        <w:rPr>
          <w:rFonts w:ascii="Times New Roman" w:hAnsi="Times New Roman" w:eastAsia="仿宋_GB2312"/>
          <w:sz w:val="32"/>
          <w:szCs w:val="32"/>
        </w:rPr>
        <w:t>评价</w:t>
      </w:r>
      <w:r>
        <w:rPr>
          <w:rFonts w:hint="eastAsia" w:ascii="Times New Roman" w:hAnsi="Times New Roman" w:eastAsia="仿宋_GB2312"/>
          <w:sz w:val="32"/>
          <w:szCs w:val="32"/>
        </w:rPr>
        <w:t>预算</w:t>
      </w:r>
      <w:r>
        <w:rPr>
          <w:rFonts w:ascii="Times New Roman" w:hAnsi="Times New Roman" w:eastAsia="仿宋_GB2312"/>
          <w:sz w:val="32"/>
          <w:szCs w:val="32"/>
        </w:rPr>
        <w:t>项目</w:t>
      </w:r>
      <w:r>
        <w:rPr>
          <w:rFonts w:hint="eastAsia" w:ascii="Times New Roman" w:hAnsi="Times New Roman" w:eastAsia="仿宋_GB2312"/>
          <w:sz w:val="32"/>
          <w:szCs w:val="32"/>
        </w:rPr>
        <w:t>126</w:t>
      </w:r>
      <w:r>
        <w:rPr>
          <w:rFonts w:ascii="Times New Roman" w:hAnsi="Times New Roman" w:eastAsia="仿宋_GB2312"/>
          <w:sz w:val="32"/>
          <w:szCs w:val="32"/>
        </w:rPr>
        <w:t>个，涉及金额</w:t>
      </w:r>
      <w:r>
        <w:rPr>
          <w:rFonts w:hint="eastAsia" w:ascii="Times New Roman" w:hAnsi="Times New Roman" w:eastAsia="仿宋_GB2312"/>
          <w:sz w:val="32"/>
          <w:szCs w:val="32"/>
        </w:rPr>
        <w:t>350,793.76</w:t>
      </w:r>
      <w:r>
        <w:rPr>
          <w:rFonts w:ascii="Times New Roman" w:hAnsi="Times New Roman" w:eastAsia="仿宋_GB2312"/>
          <w:sz w:val="32"/>
          <w:szCs w:val="32"/>
        </w:rPr>
        <w:t>万元。其中，开展</w:t>
      </w:r>
      <w:r>
        <w:rPr>
          <w:rFonts w:hint="eastAsia" w:ascii="Times New Roman" w:hAnsi="Times New Roman" w:eastAsia="仿宋_GB2312"/>
          <w:sz w:val="32"/>
          <w:szCs w:val="32"/>
        </w:rPr>
        <w:t>重点项目部门</w:t>
      </w:r>
      <w:r>
        <w:rPr>
          <w:rFonts w:ascii="Times New Roman" w:hAnsi="Times New Roman" w:eastAsia="仿宋_GB2312"/>
          <w:sz w:val="32"/>
          <w:szCs w:val="32"/>
        </w:rPr>
        <w:t>绩效评价</w:t>
      </w:r>
      <w:r>
        <w:rPr>
          <w:rFonts w:hint="eastAsia" w:ascii="Times New Roman" w:hAnsi="Times New Roman" w:eastAsia="仿宋_GB2312"/>
          <w:sz w:val="32"/>
          <w:szCs w:val="32"/>
        </w:rPr>
        <w:t>1</w:t>
      </w:r>
      <w:r>
        <w:rPr>
          <w:rFonts w:ascii="Times New Roman" w:hAnsi="Times New Roman" w:eastAsia="仿宋_GB2312"/>
          <w:sz w:val="32"/>
          <w:szCs w:val="32"/>
        </w:rPr>
        <w:t>个，涉及金额</w:t>
      </w:r>
      <w:r>
        <w:rPr>
          <w:rFonts w:hint="eastAsia" w:ascii="Times New Roman" w:hAnsi="Times New Roman" w:eastAsia="仿宋_GB2312"/>
          <w:sz w:val="32"/>
          <w:szCs w:val="32"/>
        </w:rPr>
        <w:t>630.94</w:t>
      </w:r>
      <w:r>
        <w:rPr>
          <w:rFonts w:ascii="Times New Roman" w:hAnsi="Times New Roman" w:eastAsia="仿宋_GB2312"/>
          <w:sz w:val="32"/>
          <w:szCs w:val="32"/>
        </w:rPr>
        <w:t>万元，评价得分92.81分</w:t>
      </w:r>
      <w:r>
        <w:rPr>
          <w:rFonts w:hint="eastAsia" w:ascii="Times New Roman" w:hAnsi="Times New Roman" w:eastAsia="仿宋_GB2312"/>
          <w:sz w:val="32"/>
          <w:szCs w:val="32"/>
        </w:rPr>
        <w:t>；预算</w:t>
      </w:r>
      <w:r>
        <w:rPr>
          <w:rFonts w:ascii="Times New Roman" w:hAnsi="Times New Roman" w:eastAsia="仿宋_GB2312"/>
          <w:sz w:val="32"/>
          <w:szCs w:val="32"/>
        </w:rPr>
        <w:t>单位</w:t>
      </w:r>
      <w:r>
        <w:rPr>
          <w:rFonts w:hint="eastAsia" w:ascii="Times New Roman" w:hAnsi="Times New Roman" w:eastAsia="仿宋_GB2312"/>
          <w:sz w:val="32"/>
          <w:szCs w:val="32"/>
        </w:rPr>
        <w:t>绩效</w:t>
      </w:r>
      <w:r>
        <w:rPr>
          <w:rFonts w:ascii="Times New Roman" w:hAnsi="Times New Roman" w:eastAsia="仿宋_GB2312"/>
          <w:sz w:val="32"/>
          <w:szCs w:val="32"/>
        </w:rPr>
        <w:t>自评项目</w:t>
      </w:r>
      <w:r>
        <w:rPr>
          <w:rFonts w:hint="eastAsia" w:ascii="Times New Roman" w:hAnsi="Times New Roman" w:eastAsia="仿宋_GB2312"/>
          <w:sz w:val="32"/>
          <w:szCs w:val="32"/>
        </w:rPr>
        <w:t>126</w:t>
      </w:r>
      <w:r>
        <w:rPr>
          <w:rFonts w:ascii="Times New Roman" w:hAnsi="Times New Roman" w:eastAsia="仿宋_GB2312"/>
          <w:sz w:val="32"/>
          <w:szCs w:val="32"/>
        </w:rPr>
        <w:t>个，评价得分在90（含）-100分的</w:t>
      </w:r>
      <w:r>
        <w:rPr>
          <w:rFonts w:hint="eastAsia" w:ascii="Times New Roman" w:hAnsi="Times New Roman" w:eastAsia="仿宋_GB2312"/>
          <w:sz w:val="32"/>
          <w:szCs w:val="32"/>
        </w:rPr>
        <w:t>120</w:t>
      </w:r>
      <w:r>
        <w:rPr>
          <w:rFonts w:ascii="Times New Roman" w:hAnsi="Times New Roman" w:eastAsia="仿宋_GB2312"/>
          <w:sz w:val="32"/>
          <w:szCs w:val="32"/>
        </w:rPr>
        <w:t>个</w:t>
      </w:r>
      <w:r>
        <w:rPr>
          <w:rFonts w:hint="eastAsia" w:ascii="Times New Roman" w:hAnsi="Times New Roman" w:eastAsia="仿宋_GB2312"/>
          <w:sz w:val="32"/>
          <w:szCs w:val="32"/>
        </w:rPr>
        <w:t>，</w:t>
      </w:r>
      <w:r>
        <w:rPr>
          <w:rFonts w:ascii="Times New Roman" w:hAnsi="Times New Roman" w:eastAsia="仿宋_GB2312"/>
          <w:sz w:val="32"/>
          <w:szCs w:val="32"/>
        </w:rPr>
        <w:t>评价得分在80（含）-90分的</w:t>
      </w:r>
      <w:r>
        <w:rPr>
          <w:rFonts w:hint="eastAsia" w:ascii="Times New Roman" w:hAnsi="Times New Roman" w:eastAsia="仿宋_GB2312"/>
          <w:sz w:val="32"/>
          <w:szCs w:val="32"/>
        </w:rPr>
        <w:t>5</w:t>
      </w:r>
      <w:r>
        <w:rPr>
          <w:rFonts w:ascii="Times New Roman" w:hAnsi="Times New Roman" w:eastAsia="仿宋_GB2312"/>
          <w:sz w:val="32"/>
          <w:szCs w:val="32"/>
        </w:rPr>
        <w:t>个</w:t>
      </w:r>
      <w:r>
        <w:rPr>
          <w:rFonts w:hint="eastAsia" w:ascii="Times New Roman" w:hAnsi="Times New Roman" w:eastAsia="仿宋_GB2312"/>
          <w:sz w:val="32"/>
          <w:szCs w:val="32"/>
        </w:rPr>
        <w:t>，</w:t>
      </w:r>
      <w:r>
        <w:rPr>
          <w:rFonts w:ascii="Times New Roman" w:hAnsi="Times New Roman" w:eastAsia="仿宋_GB2312"/>
          <w:sz w:val="32"/>
          <w:szCs w:val="32"/>
        </w:rPr>
        <w:t>评价得分在60（含）-80分的</w:t>
      </w:r>
      <w:r>
        <w:rPr>
          <w:rFonts w:hint="eastAsia" w:ascii="Times New Roman" w:hAnsi="Times New Roman" w:eastAsia="仿宋_GB2312"/>
          <w:sz w:val="32"/>
          <w:szCs w:val="32"/>
        </w:rPr>
        <w:t>1</w:t>
      </w:r>
      <w:r>
        <w:rPr>
          <w:rFonts w:ascii="Times New Roman" w:hAnsi="Times New Roman" w:eastAsia="仿宋_GB2312"/>
          <w:sz w:val="32"/>
          <w:szCs w:val="32"/>
        </w:rPr>
        <w:t>个。</w:t>
      </w:r>
    </w:p>
    <w:p>
      <w:pPr>
        <w:spacing w:line="560" w:lineRule="exact"/>
        <w:ind w:firstLine="640" w:firstLineChars="200"/>
        <w:rPr>
          <w:rFonts w:ascii="Times New Roman" w:hAnsi="Times New Roman" w:eastAsia="仿宋_GB2312"/>
          <w:sz w:val="32"/>
          <w:szCs w:val="32"/>
          <w:highlight w:val="yellow"/>
        </w:rPr>
      </w:pPr>
      <w:r>
        <w:rPr>
          <w:rFonts w:hint="eastAsia" w:ascii="Times New Roman" w:hAnsi="Times New Roman" w:eastAsia="仿宋_GB2312"/>
          <w:sz w:val="32"/>
          <w:szCs w:val="32"/>
        </w:rPr>
        <w:t>经评价，2024年市经信局围绕产业精准施策、新型工业化转型、区域协同发展等核心任务，较好完成了年度既定目标：精准配套高精尖产业政策，制造业投资韧性增强；突破关键领域技术瓶颈，形成自主化产业链攻关成果；创新京津冀“六链五群”协作模式，跨区域产业协同效能增强；加速布局数字经济标杆场景，数智驱动产业升级；优化企业全周期服务，专精特新企业培育成效显著。具体产出和效益实现情况如下：</w:t>
      </w:r>
    </w:p>
    <w:p>
      <w:pPr>
        <w:pStyle w:val="3"/>
        <w:keepNext w:val="0"/>
        <w:keepLines w:val="0"/>
        <w:spacing w:before="0" w:after="0" w:line="560" w:lineRule="exact"/>
        <w:ind w:firstLine="640" w:firstLineChars="200"/>
        <w:rPr>
          <w:rFonts w:hint="eastAsia" w:ascii="楷体" w:hAnsi="楷体" w:eastAsia="楷体"/>
          <w:b w:val="0"/>
          <w:bCs w:val="0"/>
        </w:rPr>
      </w:pPr>
      <w:bookmarkStart w:id="10" w:name="_Toc27216"/>
      <w:bookmarkStart w:id="11" w:name="_Toc14508"/>
      <w:r>
        <w:rPr>
          <w:rFonts w:hint="eastAsia" w:ascii="楷体" w:hAnsi="楷体" w:eastAsia="楷体"/>
          <w:b w:val="0"/>
          <w:bCs w:val="0"/>
        </w:rPr>
        <w:t>（一）产出完成情况分析</w:t>
      </w:r>
      <w:bookmarkEnd w:id="10"/>
      <w:bookmarkEnd w:id="11"/>
    </w:p>
    <w:p>
      <w:pPr>
        <w:spacing w:line="560" w:lineRule="exact"/>
        <w:ind w:firstLine="642" w:firstLineChars="200"/>
        <w:rPr>
          <w:rFonts w:ascii="Times New Roman" w:hAnsi="Times New Roman" w:eastAsia="仿宋_GB2312"/>
          <w:b/>
          <w:bCs/>
          <w:sz w:val="32"/>
          <w:szCs w:val="32"/>
          <w:shd w:val="clear" w:color="FFFFFF" w:fill="D9D9D9"/>
        </w:rPr>
      </w:pPr>
      <w:r>
        <w:rPr>
          <w:rFonts w:ascii="Times New Roman" w:hAnsi="Times New Roman" w:eastAsia="仿宋_GB2312"/>
          <w:b/>
          <w:bCs/>
          <w:sz w:val="32"/>
          <w:szCs w:val="32"/>
        </w:rPr>
        <w:t>1.北京高精尖产业发展</w:t>
      </w:r>
    </w:p>
    <w:p>
      <w:pPr>
        <w:spacing w:line="560" w:lineRule="exact"/>
        <w:ind w:firstLine="640" w:firstLineChars="200"/>
        <w:rPr>
          <w:rFonts w:ascii="Times New Roman" w:hAnsi="Times New Roman" w:eastAsia="仿宋_GB2312"/>
          <w:sz w:val="32"/>
          <w:szCs w:val="32"/>
          <w:highlight w:val="yellow"/>
        </w:rPr>
      </w:pPr>
      <w:r>
        <w:rPr>
          <w:rFonts w:ascii="Times New Roman" w:hAnsi="Times New Roman" w:eastAsia="仿宋_GB2312"/>
          <w:sz w:val="32"/>
          <w:szCs w:val="32"/>
        </w:rPr>
        <w:t>（1）高精尖产业政策与资金供给</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聚焦高精尖产业领域研究出台一揽子提信心激活力政策措施，在商业航天、医疗器械、新材料等领域已出台</w:t>
      </w:r>
      <w:r>
        <w:rPr>
          <w:rFonts w:hint="eastAsia" w:ascii="Times New Roman" w:hAnsi="Times New Roman" w:eastAsia="仿宋_GB2312"/>
          <w:sz w:val="32"/>
          <w:szCs w:val="32"/>
        </w:rPr>
        <w:t>多</w:t>
      </w:r>
      <w:r>
        <w:rPr>
          <w:rFonts w:ascii="Times New Roman" w:hAnsi="Times New Roman" w:eastAsia="仿宋_GB2312"/>
          <w:sz w:val="32"/>
          <w:szCs w:val="32"/>
        </w:rPr>
        <w:t>项产业政策</w:t>
      </w:r>
      <w:r>
        <w:rPr>
          <w:rFonts w:hint="eastAsia" w:ascii="Times New Roman" w:hAnsi="Times New Roman" w:eastAsia="仿宋_GB2312"/>
          <w:sz w:val="32"/>
          <w:szCs w:val="32"/>
        </w:rPr>
        <w:t>。</w:t>
      </w:r>
      <w:r>
        <w:rPr>
          <w:rFonts w:ascii="Times New Roman" w:hAnsi="Times New Roman" w:eastAsia="仿宋_GB2312"/>
          <w:sz w:val="32"/>
          <w:szCs w:val="32"/>
        </w:rPr>
        <w:t>完善工作推进机制，围绕未来产业发展总体实施方案，细化工作方案和支持政策，各区结合定位强化落地，形成市区紧密衔接的协同机制。</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）创新平台建设与成果转化</w:t>
      </w:r>
    </w:p>
    <w:p>
      <w:pPr>
        <w:spacing w:line="560" w:lineRule="exact"/>
        <w:ind w:firstLine="640" w:firstLineChars="200"/>
        <w:rPr>
          <w:rFonts w:ascii="Times New Roman" w:hAnsi="Times New Roman" w:eastAsia="仿宋_GB2312"/>
          <w:sz w:val="32"/>
          <w:szCs w:val="32"/>
        </w:rPr>
      </w:pPr>
      <w:bookmarkStart w:id="12" w:name="OLE_LINK1"/>
      <w:r>
        <w:rPr>
          <w:rFonts w:ascii="Times New Roman" w:hAnsi="Times New Roman" w:eastAsia="仿宋_GB2312"/>
          <w:sz w:val="32"/>
          <w:szCs w:val="32"/>
        </w:rPr>
        <w:t>推动产业创新与科技创新深度融合</w:t>
      </w:r>
      <w:r>
        <w:rPr>
          <w:rFonts w:hint="eastAsia" w:ascii="Times New Roman" w:hAnsi="Times New Roman" w:eastAsia="仿宋_GB2312"/>
          <w:sz w:val="32"/>
          <w:szCs w:val="32"/>
        </w:rPr>
        <w:t>，</w:t>
      </w:r>
      <w:r>
        <w:rPr>
          <w:rFonts w:ascii="Times New Roman" w:hAnsi="Times New Roman" w:eastAsia="仿宋_GB2312"/>
          <w:sz w:val="32"/>
          <w:szCs w:val="32"/>
        </w:rPr>
        <w:t>完成国际科技创新中心创新型产业集群与制造业高质量发展专项办建设任务，引导</w:t>
      </w:r>
      <w:r>
        <w:rPr>
          <w:rFonts w:hint="eastAsia" w:ascii="Times New Roman" w:hAnsi="Times New Roman" w:eastAsia="仿宋_GB2312"/>
          <w:sz w:val="32"/>
          <w:szCs w:val="32"/>
        </w:rPr>
        <w:t>“</w:t>
      </w:r>
      <w:r>
        <w:rPr>
          <w:rFonts w:ascii="Times New Roman" w:hAnsi="Times New Roman" w:eastAsia="仿宋_GB2312"/>
          <w:sz w:val="32"/>
          <w:szCs w:val="32"/>
        </w:rPr>
        <w:t>三城</w:t>
      </w:r>
      <w:r>
        <w:rPr>
          <w:rFonts w:hint="eastAsia" w:ascii="Times New Roman" w:hAnsi="Times New Roman" w:eastAsia="仿宋_GB2312"/>
          <w:sz w:val="32"/>
          <w:szCs w:val="32"/>
        </w:rPr>
        <w:t>”</w:t>
      </w:r>
      <w:r>
        <w:rPr>
          <w:rFonts w:ascii="Times New Roman" w:hAnsi="Times New Roman" w:eastAsia="仿宋_GB2312"/>
          <w:sz w:val="32"/>
          <w:szCs w:val="32"/>
        </w:rPr>
        <w:t>科技成果向</w:t>
      </w:r>
      <w:r>
        <w:rPr>
          <w:rFonts w:hint="eastAsia" w:ascii="Times New Roman" w:hAnsi="Times New Roman" w:eastAsia="仿宋_GB2312"/>
          <w:sz w:val="32"/>
          <w:szCs w:val="32"/>
        </w:rPr>
        <w:t>“</w:t>
      </w:r>
      <w:r>
        <w:rPr>
          <w:rFonts w:ascii="Times New Roman" w:hAnsi="Times New Roman" w:eastAsia="仿宋_GB2312"/>
          <w:sz w:val="32"/>
          <w:szCs w:val="32"/>
        </w:rPr>
        <w:t>一区</w:t>
      </w:r>
      <w:r>
        <w:rPr>
          <w:rFonts w:hint="eastAsia" w:ascii="Times New Roman" w:hAnsi="Times New Roman" w:eastAsia="仿宋_GB2312"/>
          <w:sz w:val="32"/>
          <w:szCs w:val="32"/>
        </w:rPr>
        <w:t>”</w:t>
      </w:r>
      <w:r>
        <w:rPr>
          <w:rFonts w:ascii="Times New Roman" w:hAnsi="Times New Roman" w:eastAsia="仿宋_GB2312"/>
          <w:sz w:val="32"/>
          <w:szCs w:val="32"/>
        </w:rPr>
        <w:t>转化。加强新型产业研发机构建设，推动具身智能机器人制造业创新中心</w:t>
      </w:r>
      <w:r>
        <w:rPr>
          <w:rFonts w:hint="eastAsia" w:ascii="Times New Roman" w:hAnsi="Times New Roman" w:eastAsia="仿宋_GB2312"/>
          <w:sz w:val="32"/>
          <w:szCs w:val="32"/>
        </w:rPr>
        <w:t>建设</w:t>
      </w:r>
      <w:r>
        <w:rPr>
          <w:rFonts w:ascii="Times New Roman" w:hAnsi="Times New Roman" w:eastAsia="仿宋_GB2312"/>
          <w:sz w:val="32"/>
          <w:szCs w:val="32"/>
        </w:rPr>
        <w:t>，创建创新药物筛选验证和检测评价国家级公共服务平台。</w:t>
      </w:r>
    </w:p>
    <w:bookmarkEnd w:id="12"/>
    <w:p>
      <w:pPr>
        <w:spacing w:line="560" w:lineRule="exact"/>
        <w:ind w:firstLine="642" w:firstLineChars="200"/>
        <w:rPr>
          <w:rFonts w:ascii="Times New Roman" w:hAnsi="Times New Roman" w:eastAsia="仿宋_GB2312"/>
          <w:b/>
          <w:bCs/>
          <w:sz w:val="32"/>
          <w:szCs w:val="32"/>
          <w:shd w:val="clear" w:color="FFFFFF" w:fill="D9D9D9"/>
        </w:rPr>
      </w:pPr>
      <w:r>
        <w:rPr>
          <w:rFonts w:hint="eastAsia" w:ascii="Times New Roman" w:hAnsi="Times New Roman" w:eastAsia="仿宋_GB2312"/>
          <w:b/>
          <w:bCs/>
          <w:sz w:val="32"/>
          <w:szCs w:val="32"/>
        </w:rPr>
        <w:t>2</w:t>
      </w:r>
      <w:r>
        <w:rPr>
          <w:rFonts w:ascii="Times New Roman" w:hAnsi="Times New Roman" w:eastAsia="仿宋_GB2312"/>
          <w:b/>
          <w:bCs/>
          <w:sz w:val="32"/>
          <w:szCs w:val="32"/>
        </w:rPr>
        <w:t>.运行监测</w:t>
      </w:r>
    </w:p>
    <w:p>
      <w:pPr>
        <w:spacing w:line="560" w:lineRule="exact"/>
        <w:ind w:firstLine="640" w:firstLineChars="200"/>
        <w:rPr>
          <w:rFonts w:ascii="Times New Roman" w:hAnsi="Times New Roman" w:eastAsia="仿宋_GB2312"/>
          <w:sz w:val="32"/>
          <w:szCs w:val="32"/>
          <w:highlight w:val="yellow"/>
        </w:rPr>
      </w:pPr>
      <w:r>
        <w:rPr>
          <w:rFonts w:ascii="Times New Roman" w:hAnsi="Times New Roman" w:eastAsia="仿宋_GB2312"/>
          <w:sz w:val="32"/>
          <w:szCs w:val="32"/>
        </w:rPr>
        <w:t>（1）宏观经济及高精尖产业运行监测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动态跟踪国内各地方政府经济与社会发展政策，及时形成宏观政策跟踪报告11份；聚焦当前经济形势，提供宏观经济咨询和形势分析服务4次。围绕产业发展关键核心要素开展跟踪监测，形成北京市工业和软件领域新登记注册企业季度分析报告4份；围绕高精尖产业重点细分领域，定期组织开展行业领域权威专家专题座谈会</w:t>
      </w:r>
      <w:r>
        <w:rPr>
          <w:rFonts w:hint="eastAsia" w:ascii="Times New Roman" w:hAnsi="Times New Roman" w:eastAsia="仿宋_GB2312"/>
          <w:sz w:val="32"/>
          <w:szCs w:val="32"/>
        </w:rPr>
        <w:t>5次</w:t>
      </w:r>
      <w:r>
        <w:rPr>
          <w:rFonts w:ascii="Times New Roman" w:hAnsi="Times New Roman" w:eastAsia="仿宋_GB2312"/>
          <w:sz w:val="32"/>
          <w:szCs w:val="32"/>
        </w:rPr>
        <w:t>。</w:t>
      </w:r>
    </w:p>
    <w:p>
      <w:pPr>
        <w:spacing w:line="560" w:lineRule="exact"/>
        <w:ind w:firstLine="640" w:firstLineChars="200"/>
        <w:rPr>
          <w:rFonts w:ascii="Times New Roman" w:hAnsi="Times New Roman" w:eastAsia="仿宋_GB2312"/>
          <w:sz w:val="32"/>
          <w:szCs w:val="32"/>
          <w:highlight w:val="yellow"/>
        </w:rPr>
      </w:pP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）软件和信息服务业运行监测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围绕软件和信息服务业发展的关键核心要素，开展重点领域、重点企业、新兴业态等进行全景式的运行监测和分析，编制北京软件和信息服务业经济形势运行监测报告4份、动态跟踪与资讯汇编6份、行业专题研究报告1份，为企业服务、行业研究、政策编制提供重要数据支撑和决策参考。</w:t>
      </w:r>
    </w:p>
    <w:p>
      <w:pPr>
        <w:spacing w:line="560" w:lineRule="exact"/>
        <w:ind w:firstLine="640" w:firstLineChars="200"/>
        <w:rPr>
          <w:rFonts w:ascii="Times New Roman" w:hAnsi="Times New Roman" w:eastAsia="仿宋_GB2312"/>
          <w:sz w:val="32"/>
          <w:szCs w:val="32"/>
          <w:highlight w:val="yellow"/>
        </w:rPr>
      </w:pP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）电子信息行业运行监测</w:t>
      </w:r>
    </w:p>
    <w:p>
      <w:pPr>
        <w:spacing w:line="560" w:lineRule="exact"/>
        <w:ind w:firstLine="640" w:firstLineChars="200"/>
        <w:rPr>
          <w:rFonts w:ascii="Times New Roman" w:hAnsi="Times New Roman" w:eastAsia="仿宋_GB2312"/>
          <w:sz w:val="32"/>
          <w:szCs w:val="32"/>
        </w:rPr>
      </w:pPr>
      <w:bookmarkStart w:id="13" w:name="OLE_LINK2"/>
      <w:r>
        <w:rPr>
          <w:rFonts w:ascii="Times New Roman" w:hAnsi="Times New Roman" w:eastAsia="仿宋_GB2312"/>
          <w:sz w:val="32"/>
          <w:szCs w:val="32"/>
        </w:rPr>
        <w:t>定期对北京市信息产业经济运行状况进行统计、监测与分析，汇总本年度电子信息领域经济运行分析1份，预测了年度主要发展指标；</w:t>
      </w:r>
      <w:r>
        <w:rPr>
          <w:rFonts w:hint="eastAsia" w:ascii="Times New Roman" w:hAnsi="Times New Roman" w:eastAsia="仿宋_GB2312"/>
          <w:sz w:val="32"/>
          <w:szCs w:val="32"/>
        </w:rPr>
        <w:t>落实</w:t>
      </w:r>
      <w:r>
        <w:rPr>
          <w:rFonts w:ascii="Times New Roman" w:hAnsi="Times New Roman" w:eastAsia="仿宋_GB2312"/>
          <w:sz w:val="32"/>
          <w:szCs w:val="32"/>
        </w:rPr>
        <w:t>北京工业重点调度联系企业统计监测制度，每月5号、25号监测两次，并进行月度、年度预报，按时在指定系统填报，为电子信息行业管理部门的工作提供了基础数据支撑和预测依据。</w:t>
      </w:r>
    </w:p>
    <w:bookmarkEnd w:id="13"/>
    <w:p>
      <w:pPr>
        <w:spacing w:line="560" w:lineRule="exact"/>
        <w:ind w:firstLine="642" w:firstLineChars="200"/>
        <w:rPr>
          <w:rFonts w:ascii="Times New Roman" w:hAnsi="Times New Roman" w:eastAsia="仿宋_GB2312"/>
          <w:b/>
          <w:bCs/>
          <w:sz w:val="32"/>
          <w:szCs w:val="32"/>
          <w:shd w:val="clear" w:color="FFFFFF" w:fill="D9D9D9"/>
        </w:rPr>
      </w:pPr>
      <w:r>
        <w:rPr>
          <w:rFonts w:hint="eastAsia" w:ascii="Times New Roman" w:hAnsi="Times New Roman" w:eastAsia="仿宋_GB2312"/>
          <w:b/>
          <w:bCs/>
          <w:sz w:val="32"/>
          <w:szCs w:val="32"/>
        </w:rPr>
        <w:t>3</w:t>
      </w:r>
      <w:r>
        <w:rPr>
          <w:rFonts w:ascii="Times New Roman" w:hAnsi="Times New Roman" w:eastAsia="仿宋_GB2312"/>
          <w:b/>
          <w:bCs/>
          <w:sz w:val="32"/>
          <w:szCs w:val="32"/>
        </w:rPr>
        <w:t>.统筹推进数字经济</w:t>
      </w:r>
      <w:r>
        <w:rPr>
          <w:rFonts w:hint="eastAsia" w:ascii="Times New Roman" w:hAnsi="Times New Roman" w:eastAsia="仿宋_GB2312"/>
          <w:b/>
          <w:bCs/>
          <w:sz w:val="32"/>
          <w:szCs w:val="32"/>
        </w:rPr>
        <w:t>发展</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（1）新型基础设施建设</w:t>
      </w:r>
    </w:p>
    <w:p>
      <w:pPr>
        <w:spacing w:line="560" w:lineRule="exact"/>
        <w:ind w:firstLine="640" w:firstLineChars="200"/>
        <w:rPr>
          <w:rFonts w:ascii="Times New Roman" w:hAnsi="Times New Roman" w:eastAsia="仿宋_GB2312"/>
          <w:sz w:val="32"/>
          <w:szCs w:val="32"/>
        </w:rPr>
      </w:pPr>
      <w:bookmarkStart w:id="14" w:name="OLE_LINK3"/>
      <w:r>
        <w:rPr>
          <w:rFonts w:ascii="Times New Roman" w:hAnsi="Times New Roman" w:eastAsia="仿宋_GB2312"/>
          <w:sz w:val="32"/>
          <w:szCs w:val="32"/>
        </w:rPr>
        <w:t>推进新型基础设施建设，发布算力基础设施建设实施方案。上线运行算力互联互通和运行服务平台，接入超7000PFlops算力资源。推动数据中心启动升级改造。新建5G基站2.65万个，累计建设13.39万个，提前完成</w:t>
      </w:r>
      <w:r>
        <w:rPr>
          <w:rFonts w:hint="eastAsia" w:ascii="Times New Roman" w:hAnsi="Times New Roman" w:eastAsia="仿宋_GB2312"/>
          <w:sz w:val="32"/>
          <w:szCs w:val="32"/>
        </w:rPr>
        <w:t>“</w:t>
      </w:r>
      <w:r>
        <w:rPr>
          <w:rFonts w:ascii="Times New Roman" w:hAnsi="Times New Roman" w:eastAsia="仿宋_GB2312"/>
          <w:sz w:val="32"/>
          <w:szCs w:val="32"/>
        </w:rPr>
        <w:t>十四五</w:t>
      </w:r>
      <w:r>
        <w:rPr>
          <w:rFonts w:hint="eastAsia" w:ascii="Times New Roman" w:hAnsi="Times New Roman" w:eastAsia="仿宋_GB2312"/>
          <w:sz w:val="32"/>
          <w:szCs w:val="32"/>
        </w:rPr>
        <w:t>”</w:t>
      </w:r>
      <w:r>
        <w:rPr>
          <w:rFonts w:ascii="Times New Roman" w:hAnsi="Times New Roman" w:eastAsia="仿宋_GB2312"/>
          <w:sz w:val="32"/>
          <w:szCs w:val="32"/>
        </w:rPr>
        <w:t>规划目标，每万人拥有5G基站61个，居全国首位。推动5G-A、F5G-A试点示范，建成5G-A基站1.37万个。</w:t>
      </w:r>
    </w:p>
    <w:bookmarkEnd w:id="14"/>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数据要素挖掘</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持续构建高质量行业数据集，推动市属医院开展医疗健康数据集建设，颈动脉支架手术等一批高质量数据集实现市场化交易。全国首个空天行业可信数据空间在京运营。北京数据基础制度先行区集聚数据要素企业，落地数据资产登记窗口等9个市级数据要素服务平台。</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产业数字化转型</w:t>
      </w:r>
    </w:p>
    <w:p>
      <w:pPr>
        <w:spacing w:line="560" w:lineRule="exact"/>
        <w:ind w:firstLine="640" w:firstLineChars="200"/>
        <w:rPr>
          <w:rFonts w:ascii="Times New Roman" w:hAnsi="Times New Roman" w:eastAsia="仿宋_GB2312"/>
          <w:sz w:val="32"/>
          <w:szCs w:val="32"/>
        </w:rPr>
      </w:pPr>
      <w:bookmarkStart w:id="15" w:name="OLE_LINK4"/>
      <w:r>
        <w:rPr>
          <w:rFonts w:ascii="Times New Roman" w:hAnsi="Times New Roman" w:eastAsia="仿宋_GB2312"/>
          <w:sz w:val="32"/>
          <w:szCs w:val="32"/>
        </w:rPr>
        <w:t>加快产业数字化转型升级，实施制造业数字化转型三年实施方案，首年超计划完成581家规模以上制造业企业数字化转型达标，顺义区入选全国中小企业数字化转型试点城市。促进数字技术赋能服务业高质量发展，发布推动数字金融、数字广告业发展等政策文件，促进跨境交易便利化，建成北京跨境电子合同签署平台。</w:t>
      </w:r>
    </w:p>
    <w:bookmarkEnd w:id="15"/>
    <w:p>
      <w:pPr>
        <w:spacing w:line="560" w:lineRule="exact"/>
        <w:ind w:firstLine="640" w:firstLineChars="200"/>
        <w:rPr>
          <w:rFonts w:ascii="Times New Roman" w:hAnsi="Times New Roman" w:eastAsia="仿宋_GB2312"/>
          <w:sz w:val="32"/>
          <w:szCs w:val="32"/>
          <w:highlight w:val="yellow"/>
        </w:rPr>
      </w:pPr>
      <w:r>
        <w:rPr>
          <w:rFonts w:ascii="Times New Roman" w:hAnsi="Times New Roman" w:eastAsia="仿宋_GB2312"/>
          <w:sz w:val="32"/>
          <w:szCs w:val="32"/>
        </w:rPr>
        <w:t>（</w:t>
      </w:r>
      <w:r>
        <w:rPr>
          <w:rFonts w:hint="eastAsia" w:ascii="Times New Roman" w:hAnsi="Times New Roman" w:eastAsia="仿宋_GB2312"/>
          <w:sz w:val="32"/>
          <w:szCs w:val="32"/>
        </w:rPr>
        <w:t>4</w:t>
      </w:r>
      <w:r>
        <w:rPr>
          <w:rFonts w:ascii="Times New Roman" w:hAnsi="Times New Roman" w:eastAsia="仿宋_GB2312"/>
          <w:sz w:val="32"/>
          <w:szCs w:val="32"/>
        </w:rPr>
        <w:t>）数字经济示范应用与开放发展</w:t>
      </w:r>
    </w:p>
    <w:p>
      <w:pPr>
        <w:spacing w:line="560" w:lineRule="exact"/>
        <w:ind w:firstLine="640" w:firstLineChars="200"/>
      </w:pPr>
      <w:r>
        <w:rPr>
          <w:rFonts w:ascii="Times New Roman" w:hAnsi="Times New Roman" w:eastAsia="仿宋_GB2312"/>
          <w:sz w:val="32"/>
          <w:szCs w:val="32"/>
        </w:rPr>
        <w:t>开展标杆示范应用，打造高级别自动驾驶示范区，出台《北京市自动驾驶汽车条例》，成功入选国家车辆准入与上路通行、车路云一体化、双智城市三大试点。建设互联网医院服务平台，全市统一预约挂号平台涵盖全部二级及以上医疗机构近300家，全年累计服务2.3亿人次。推动数字经济开放发展，入选全国首批增值电信业务扩大对外开放试点城市。成功举办2024全球数字经济大会，发布合作协议、行动计划、标准指南等成果近200项，推动10个数字经济领域合作项目在京落地。创建全球数字经济伙伴城市和国内外商协会合作网络</w:t>
      </w:r>
      <w:r>
        <w:rPr>
          <w:rFonts w:hint="eastAsia" w:ascii="Times New Roman" w:hAnsi="Times New Roman" w:eastAsia="仿宋_GB2312"/>
          <w:sz w:val="32"/>
          <w:szCs w:val="32"/>
        </w:rPr>
        <w:t>“</w:t>
      </w:r>
      <w:r>
        <w:rPr>
          <w:rFonts w:ascii="Times New Roman" w:hAnsi="Times New Roman" w:eastAsia="仿宋_GB2312"/>
          <w:sz w:val="32"/>
          <w:szCs w:val="32"/>
        </w:rPr>
        <w:t>双平台</w:t>
      </w:r>
      <w:r>
        <w:rPr>
          <w:rFonts w:hint="eastAsia" w:ascii="Times New Roman" w:hAnsi="Times New Roman" w:eastAsia="仿宋_GB2312"/>
          <w:sz w:val="32"/>
          <w:szCs w:val="32"/>
        </w:rPr>
        <w:t>”</w:t>
      </w:r>
      <w:r>
        <w:rPr>
          <w:rFonts w:ascii="Times New Roman" w:hAnsi="Times New Roman" w:eastAsia="仿宋_GB2312"/>
          <w:sz w:val="32"/>
          <w:szCs w:val="32"/>
        </w:rPr>
        <w:t>，全球数字经济伙伴城市新增9个，打造全国首个数字经济企业出海创新服务基地。</w:t>
      </w:r>
    </w:p>
    <w:p>
      <w:pPr>
        <w:spacing w:line="560" w:lineRule="exact"/>
        <w:ind w:firstLine="642" w:firstLineChars="200"/>
        <w:rPr>
          <w:rFonts w:ascii="Times New Roman" w:hAnsi="Times New Roman" w:eastAsia="仿宋_GB2312"/>
          <w:b/>
          <w:bCs/>
          <w:sz w:val="32"/>
          <w:szCs w:val="32"/>
        </w:rPr>
      </w:pPr>
      <w:r>
        <w:rPr>
          <w:rFonts w:ascii="Times New Roman" w:hAnsi="Times New Roman" w:eastAsia="仿宋_GB2312"/>
          <w:b/>
          <w:bCs/>
          <w:sz w:val="32"/>
          <w:szCs w:val="32"/>
        </w:rPr>
        <w:t>4.中小企业发展扶持</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）中小企业服务体系完善</w:t>
      </w:r>
    </w:p>
    <w:p>
      <w:pPr>
        <w:spacing w:line="560" w:lineRule="exact"/>
        <w:ind w:firstLine="640" w:firstLineChars="200"/>
        <w:rPr>
          <w:rFonts w:ascii="Times New Roman" w:hAnsi="Times New Roman" w:eastAsia="仿宋_GB2312"/>
          <w:sz w:val="32"/>
          <w:szCs w:val="32"/>
        </w:rPr>
      </w:pPr>
      <w:bookmarkStart w:id="16" w:name="OLE_LINK5"/>
      <w:r>
        <w:rPr>
          <w:rFonts w:ascii="Times New Roman" w:hAnsi="Times New Roman" w:eastAsia="仿宋_GB2312"/>
          <w:sz w:val="32"/>
          <w:szCs w:val="32"/>
        </w:rPr>
        <w:t>升级中小企业服务体系</w:t>
      </w:r>
      <w:r>
        <w:rPr>
          <w:rFonts w:hint="eastAsia" w:ascii="Times New Roman" w:hAnsi="Times New Roman" w:eastAsia="仿宋_GB2312"/>
          <w:sz w:val="32"/>
          <w:szCs w:val="32"/>
        </w:rPr>
        <w:t>，</w:t>
      </w:r>
      <w:r>
        <w:rPr>
          <w:rFonts w:ascii="Times New Roman" w:hAnsi="Times New Roman" w:eastAsia="仿宋_GB2312"/>
          <w:sz w:val="32"/>
          <w:szCs w:val="32"/>
        </w:rPr>
        <w:t>印发三年行动计划，构建</w:t>
      </w:r>
      <w:r>
        <w:rPr>
          <w:rFonts w:hint="eastAsia" w:ascii="Times New Roman" w:hAnsi="Times New Roman" w:eastAsia="仿宋_GB2312"/>
          <w:sz w:val="32"/>
          <w:szCs w:val="32"/>
        </w:rPr>
        <w:t>“</w:t>
      </w:r>
      <w:r>
        <w:rPr>
          <w:rFonts w:ascii="Times New Roman" w:hAnsi="Times New Roman" w:eastAsia="仿宋_GB2312"/>
          <w:sz w:val="32"/>
          <w:szCs w:val="32"/>
        </w:rPr>
        <w:t>1+17+N+X</w:t>
      </w:r>
      <w:r>
        <w:rPr>
          <w:rFonts w:hint="eastAsia" w:ascii="Times New Roman" w:hAnsi="Times New Roman" w:eastAsia="仿宋_GB2312"/>
          <w:sz w:val="32"/>
          <w:szCs w:val="32"/>
        </w:rPr>
        <w:t>”</w:t>
      </w:r>
      <w:r>
        <w:rPr>
          <w:rFonts w:ascii="Times New Roman" w:hAnsi="Times New Roman" w:eastAsia="仿宋_GB2312"/>
          <w:sz w:val="32"/>
          <w:szCs w:val="32"/>
        </w:rPr>
        <w:t>企业服务体系，全市服务资源在中国中小企业服务</w:t>
      </w:r>
      <w:r>
        <w:rPr>
          <w:rFonts w:hint="eastAsia" w:ascii="Times New Roman" w:hAnsi="Times New Roman" w:eastAsia="仿宋_GB2312"/>
          <w:sz w:val="32"/>
          <w:szCs w:val="32"/>
        </w:rPr>
        <w:t>“</w:t>
      </w:r>
      <w:r>
        <w:rPr>
          <w:rFonts w:ascii="Times New Roman" w:hAnsi="Times New Roman" w:eastAsia="仿宋_GB2312"/>
          <w:sz w:val="32"/>
          <w:szCs w:val="32"/>
        </w:rPr>
        <w:t>一张网</w:t>
      </w:r>
      <w:r>
        <w:rPr>
          <w:rFonts w:hint="eastAsia" w:ascii="Times New Roman" w:hAnsi="Times New Roman" w:eastAsia="仿宋_GB2312"/>
          <w:sz w:val="32"/>
          <w:szCs w:val="32"/>
        </w:rPr>
        <w:t>”</w:t>
      </w:r>
      <w:r>
        <w:rPr>
          <w:rFonts w:ascii="Times New Roman" w:hAnsi="Times New Roman" w:eastAsia="仿宋_GB2312"/>
          <w:sz w:val="32"/>
          <w:szCs w:val="32"/>
        </w:rPr>
        <w:t>汇集，相关经验在全国工信系统推广。落实</w:t>
      </w:r>
      <w:r>
        <w:rPr>
          <w:rFonts w:hint="eastAsia" w:ascii="Times New Roman" w:hAnsi="Times New Roman" w:eastAsia="仿宋_GB2312"/>
          <w:sz w:val="32"/>
          <w:szCs w:val="32"/>
        </w:rPr>
        <w:t>“</w:t>
      </w:r>
      <w:r>
        <w:rPr>
          <w:rFonts w:ascii="Times New Roman" w:hAnsi="Times New Roman" w:eastAsia="仿宋_GB2312"/>
          <w:sz w:val="32"/>
          <w:szCs w:val="32"/>
        </w:rPr>
        <w:t>服务包</w:t>
      </w:r>
      <w:r>
        <w:rPr>
          <w:rFonts w:hint="eastAsia" w:ascii="Times New Roman" w:hAnsi="Times New Roman" w:eastAsia="仿宋_GB2312"/>
          <w:sz w:val="32"/>
          <w:szCs w:val="32"/>
        </w:rPr>
        <w:t>”</w:t>
      </w:r>
      <w:r>
        <w:rPr>
          <w:rFonts w:ascii="Times New Roman" w:hAnsi="Times New Roman" w:eastAsia="仿宋_GB2312"/>
          <w:sz w:val="32"/>
          <w:szCs w:val="32"/>
        </w:rPr>
        <w:t>工作机制，为188家市级重点企业提供</w:t>
      </w:r>
      <w:r>
        <w:rPr>
          <w:rFonts w:hint="eastAsia" w:ascii="Times New Roman" w:hAnsi="Times New Roman" w:eastAsia="仿宋_GB2312"/>
          <w:sz w:val="32"/>
          <w:szCs w:val="32"/>
        </w:rPr>
        <w:t>“</w:t>
      </w:r>
      <w:r>
        <w:rPr>
          <w:rFonts w:ascii="Times New Roman" w:hAnsi="Times New Roman" w:eastAsia="仿宋_GB2312"/>
          <w:sz w:val="32"/>
          <w:szCs w:val="32"/>
        </w:rPr>
        <w:t>管家式</w:t>
      </w:r>
      <w:r>
        <w:rPr>
          <w:rFonts w:hint="eastAsia" w:ascii="Times New Roman" w:hAnsi="Times New Roman" w:eastAsia="仿宋_GB2312"/>
          <w:sz w:val="32"/>
          <w:szCs w:val="32"/>
        </w:rPr>
        <w:t>”</w:t>
      </w:r>
      <w:r>
        <w:rPr>
          <w:rFonts w:ascii="Times New Roman" w:hAnsi="Times New Roman" w:eastAsia="仿宋_GB2312"/>
          <w:sz w:val="32"/>
          <w:szCs w:val="32"/>
        </w:rPr>
        <w:t>服务，围绕企业</w:t>
      </w:r>
      <w:r>
        <w:rPr>
          <w:rFonts w:hint="eastAsia" w:ascii="Times New Roman" w:hAnsi="Times New Roman" w:eastAsia="仿宋_GB2312"/>
          <w:sz w:val="32"/>
          <w:szCs w:val="32"/>
        </w:rPr>
        <w:t>“</w:t>
      </w:r>
      <w:r>
        <w:rPr>
          <w:rFonts w:ascii="Times New Roman" w:hAnsi="Times New Roman" w:eastAsia="仿宋_GB2312"/>
          <w:sz w:val="32"/>
          <w:szCs w:val="32"/>
        </w:rPr>
        <w:t>急难愁盼</w:t>
      </w:r>
      <w:r>
        <w:rPr>
          <w:rFonts w:hint="eastAsia" w:ascii="Times New Roman" w:hAnsi="Times New Roman" w:eastAsia="仿宋_GB2312"/>
          <w:sz w:val="32"/>
          <w:szCs w:val="32"/>
        </w:rPr>
        <w:t>”</w:t>
      </w:r>
      <w:r>
        <w:rPr>
          <w:rFonts w:ascii="Times New Roman" w:hAnsi="Times New Roman" w:eastAsia="仿宋_GB2312"/>
          <w:sz w:val="32"/>
          <w:szCs w:val="32"/>
        </w:rPr>
        <w:t>问题回访1230次，专项调度436次。帮助企业纾困解难，协助解决企业诉求200余项。</w:t>
      </w:r>
    </w:p>
    <w:bookmarkEnd w:id="16"/>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专精特新企业培育</w:t>
      </w:r>
    </w:p>
    <w:p>
      <w:pPr>
        <w:spacing w:line="560" w:lineRule="exact"/>
        <w:ind w:firstLine="640" w:firstLineChars="200"/>
      </w:pPr>
      <w:bookmarkStart w:id="17" w:name="OLE_LINK6"/>
      <w:r>
        <w:rPr>
          <w:rFonts w:ascii="Times New Roman" w:hAnsi="Times New Roman" w:eastAsia="仿宋_GB2312"/>
          <w:sz w:val="32"/>
          <w:szCs w:val="32"/>
        </w:rPr>
        <w:t>培育认定市级专精特新中小企业</w:t>
      </w:r>
      <w:r>
        <w:rPr>
          <w:rFonts w:hint="eastAsia" w:ascii="Times New Roman" w:hAnsi="Times New Roman" w:eastAsia="仿宋_GB2312"/>
          <w:sz w:val="32"/>
          <w:szCs w:val="32"/>
        </w:rPr>
        <w:t>多家</w:t>
      </w:r>
      <w:r>
        <w:rPr>
          <w:rFonts w:ascii="Times New Roman" w:hAnsi="Times New Roman" w:eastAsia="仿宋_GB2312"/>
          <w:sz w:val="32"/>
          <w:szCs w:val="32"/>
        </w:rPr>
        <w:t>，</w:t>
      </w:r>
      <w:r>
        <w:rPr>
          <w:rFonts w:hint="eastAsia" w:ascii="Times New Roman" w:hAnsi="Times New Roman" w:eastAsia="仿宋_GB2312"/>
          <w:sz w:val="32"/>
          <w:szCs w:val="32"/>
        </w:rPr>
        <w:t>“</w:t>
      </w:r>
      <w:r>
        <w:rPr>
          <w:rFonts w:ascii="Times New Roman" w:hAnsi="Times New Roman" w:eastAsia="仿宋_GB2312"/>
          <w:sz w:val="32"/>
          <w:szCs w:val="32"/>
        </w:rPr>
        <w:t>小巨人</w:t>
      </w:r>
      <w:r>
        <w:rPr>
          <w:rFonts w:hint="eastAsia" w:ascii="Times New Roman" w:hAnsi="Times New Roman" w:eastAsia="仿宋_GB2312"/>
          <w:sz w:val="32"/>
          <w:szCs w:val="32"/>
        </w:rPr>
        <w:t>”</w:t>
      </w:r>
      <w:r>
        <w:rPr>
          <w:rFonts w:ascii="Times New Roman" w:hAnsi="Times New Roman" w:eastAsia="仿宋_GB2312"/>
          <w:sz w:val="32"/>
          <w:szCs w:val="32"/>
        </w:rPr>
        <w:t>企业数量位列全国各城市之首。实施激发专精特新企业活力的</w:t>
      </w:r>
      <w:r>
        <w:rPr>
          <w:rFonts w:hint="eastAsia" w:ascii="Times New Roman" w:hAnsi="Times New Roman" w:eastAsia="仿宋_GB2312"/>
          <w:sz w:val="32"/>
          <w:szCs w:val="32"/>
        </w:rPr>
        <w:t>“</w:t>
      </w:r>
      <w:r>
        <w:rPr>
          <w:rFonts w:ascii="Times New Roman" w:hAnsi="Times New Roman" w:eastAsia="仿宋_GB2312"/>
          <w:sz w:val="32"/>
          <w:szCs w:val="32"/>
        </w:rPr>
        <w:t>十大强企行动</w:t>
      </w:r>
      <w:r>
        <w:rPr>
          <w:rFonts w:hint="eastAsia" w:ascii="Times New Roman" w:hAnsi="Times New Roman" w:eastAsia="仿宋_GB2312"/>
          <w:sz w:val="32"/>
          <w:szCs w:val="32"/>
        </w:rPr>
        <w:t>”</w:t>
      </w:r>
      <w:r>
        <w:rPr>
          <w:rFonts w:ascii="Times New Roman" w:hAnsi="Times New Roman" w:eastAsia="仿宋_GB2312"/>
          <w:sz w:val="32"/>
          <w:szCs w:val="32"/>
        </w:rPr>
        <w:t>，首批试点设立30家专精特新服务站，实现16区覆盖。小微企业首贷贴息、贷款融资规模和费率均达近年来最好水平</w:t>
      </w:r>
      <w:r>
        <w:rPr>
          <w:rFonts w:hint="eastAsia" w:ascii="Times New Roman" w:hAnsi="Times New Roman" w:eastAsia="仿宋_GB2312"/>
          <w:sz w:val="32"/>
          <w:szCs w:val="32"/>
        </w:rPr>
        <w:t>；</w:t>
      </w:r>
      <w:r>
        <w:rPr>
          <w:rFonts w:ascii="Times New Roman" w:hAnsi="Times New Roman" w:eastAsia="仿宋_GB2312"/>
          <w:sz w:val="32"/>
          <w:szCs w:val="32"/>
        </w:rPr>
        <w:t>实施</w:t>
      </w:r>
      <w:r>
        <w:rPr>
          <w:rFonts w:hint="eastAsia" w:ascii="Times New Roman" w:hAnsi="Times New Roman" w:eastAsia="仿宋_GB2312"/>
          <w:sz w:val="32"/>
          <w:szCs w:val="32"/>
        </w:rPr>
        <w:t>“</w:t>
      </w:r>
      <w:r>
        <w:rPr>
          <w:rFonts w:ascii="Times New Roman" w:hAnsi="Times New Roman" w:eastAsia="仿宋_GB2312"/>
          <w:sz w:val="32"/>
          <w:szCs w:val="32"/>
        </w:rPr>
        <w:t>数智转型</w:t>
      </w:r>
      <w:r>
        <w:rPr>
          <w:rFonts w:hint="eastAsia" w:ascii="Times New Roman" w:hAnsi="Times New Roman" w:eastAsia="仿宋_GB2312"/>
          <w:sz w:val="32"/>
          <w:szCs w:val="32"/>
        </w:rPr>
        <w:t>”</w:t>
      </w:r>
      <w:r>
        <w:rPr>
          <w:rFonts w:ascii="Times New Roman" w:hAnsi="Times New Roman" w:eastAsia="仿宋_GB2312"/>
          <w:sz w:val="32"/>
          <w:szCs w:val="32"/>
        </w:rPr>
        <w:t>行动，引导521家中小企业上云上平台和数字化转型升级。</w:t>
      </w:r>
    </w:p>
    <w:bookmarkEnd w:id="17"/>
    <w:p>
      <w:pPr>
        <w:spacing w:line="560" w:lineRule="exact"/>
        <w:ind w:firstLine="642" w:firstLineChars="200"/>
        <w:rPr>
          <w:rFonts w:ascii="Times New Roman" w:hAnsi="Times New Roman" w:eastAsia="仿宋_GB2312"/>
          <w:b/>
          <w:bCs/>
          <w:sz w:val="32"/>
          <w:szCs w:val="32"/>
        </w:rPr>
      </w:pPr>
      <w:r>
        <w:rPr>
          <w:rFonts w:hint="eastAsia" w:ascii="Times New Roman" w:hAnsi="Times New Roman" w:eastAsia="仿宋_GB2312"/>
          <w:b/>
          <w:bCs/>
          <w:sz w:val="32"/>
          <w:szCs w:val="32"/>
        </w:rPr>
        <w:t>5</w:t>
      </w:r>
      <w:r>
        <w:rPr>
          <w:rFonts w:ascii="Times New Roman" w:hAnsi="Times New Roman" w:eastAsia="仿宋_GB2312"/>
          <w:b/>
          <w:bCs/>
          <w:sz w:val="32"/>
          <w:szCs w:val="32"/>
        </w:rPr>
        <w:t>.绿色环保支持</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（1）新能源汽车产业发展</w:t>
      </w:r>
    </w:p>
    <w:p>
      <w:pPr>
        <w:spacing w:after="0" w:line="560" w:lineRule="exact"/>
        <w:ind w:firstLine="640" w:firstLineChars="200"/>
        <w:rPr>
          <w:rFonts w:ascii="仿宋_GB2312" w:eastAsia="仿宋_GB2312" w:cs="仿宋_GB2312"/>
          <w:bCs/>
          <w:sz w:val="32"/>
          <w:szCs w:val="32"/>
          <w:lang w:bidi="ar"/>
        </w:rPr>
      </w:pPr>
      <w:bookmarkStart w:id="18" w:name="OLE_LINK7"/>
      <w:r>
        <w:rPr>
          <w:rFonts w:hint="eastAsia" w:ascii="Times New Roman" w:hAnsi="Times New Roman" w:eastAsia="仿宋_GB2312"/>
          <w:sz w:val="32"/>
          <w:szCs w:val="32"/>
          <w:lang w:bidi="ar"/>
        </w:rPr>
        <w:t>培育先进制造业集群，智能网联新能源汽车集群成功申创国家级先进制造业集群。推进产业共链发展，智能网联新能源汽车、氢能、工业互联网等产业链协同加快推进，实施“共造一辆车”新能源汽车供应链配套工程，津冀200余家关键零部件企业进入北京整车生产企业供应链，国内首条高速自动驾驶干线物流货运场景在京津塘高速全线贯通，国家燃料电池汽车示范城市群建设三年任务超额完成。发放新能源汽车补助，推动产业发展，依据国家及北京市相关政策，按照申请新能源汽车地方财政补助资金工作流程。</w:t>
      </w:r>
    </w:p>
    <w:bookmarkEnd w:id="18"/>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（2）节能环保和绿色发展工作推进</w:t>
      </w:r>
    </w:p>
    <w:p>
      <w:pPr>
        <w:spacing w:line="560" w:lineRule="exact"/>
        <w:ind w:firstLine="640" w:firstLineChars="200"/>
        <w:rPr>
          <w:rFonts w:ascii="Times New Roman" w:hAnsi="Times New Roman" w:eastAsia="仿宋_GB2312"/>
          <w:sz w:val="32"/>
          <w:szCs w:val="32"/>
        </w:rPr>
      </w:pPr>
      <w:bookmarkStart w:id="19" w:name="OLE_LINK8"/>
      <w:r>
        <w:rPr>
          <w:rFonts w:hint="eastAsia" w:ascii="Times New Roman" w:hAnsi="Times New Roman" w:eastAsia="仿宋_GB2312"/>
          <w:sz w:val="32"/>
          <w:szCs w:val="32"/>
        </w:rPr>
        <w:t>全年检查空气重污染应急和特殊时期生产调度企业多家，对多家企业的绿色制造和节能环保申报项目进行评审或方向性审核，推动了绿色制造示范企业数量稳步提升，推进了制造业企业提质增效和节能减排。支持企业提升空气重污染环保绩效级别，为空气质量持续改善做出积极贡献。加快产业绿色低碳发展，构建起涵盖绿色诊断、分级评价、技术改造、标杆创建的推动制造业“全绿”工作体系。</w:t>
      </w:r>
    </w:p>
    <w:bookmarkEnd w:id="19"/>
    <w:p>
      <w:pPr>
        <w:spacing w:line="560" w:lineRule="exact"/>
        <w:ind w:firstLine="642" w:firstLineChars="200"/>
        <w:rPr>
          <w:rFonts w:ascii="Times New Roman" w:hAnsi="Times New Roman" w:eastAsia="仿宋_GB2312"/>
          <w:b/>
          <w:bCs/>
          <w:sz w:val="32"/>
          <w:szCs w:val="32"/>
        </w:rPr>
      </w:pPr>
      <w:r>
        <w:rPr>
          <w:rFonts w:hint="eastAsia" w:ascii="Times New Roman" w:hAnsi="Times New Roman" w:eastAsia="仿宋_GB2312"/>
          <w:b/>
          <w:bCs/>
          <w:sz w:val="32"/>
          <w:szCs w:val="32"/>
        </w:rPr>
        <w:t>6</w:t>
      </w:r>
      <w:r>
        <w:rPr>
          <w:rFonts w:ascii="Times New Roman" w:hAnsi="Times New Roman" w:eastAsia="仿宋_GB2312"/>
          <w:b/>
          <w:bCs/>
          <w:sz w:val="32"/>
          <w:szCs w:val="32"/>
        </w:rPr>
        <w:t>.无线电管理</w:t>
      </w:r>
      <w:r>
        <w:rPr>
          <w:rFonts w:hint="eastAsia" w:ascii="Times New Roman" w:hAnsi="Times New Roman" w:eastAsia="仿宋_GB2312"/>
          <w:b/>
          <w:bCs/>
          <w:sz w:val="32"/>
          <w:szCs w:val="32"/>
        </w:rPr>
        <w:t>与通信</w:t>
      </w:r>
      <w:r>
        <w:rPr>
          <w:rFonts w:ascii="Times New Roman" w:hAnsi="Times New Roman" w:eastAsia="仿宋_GB2312"/>
          <w:b/>
          <w:bCs/>
          <w:sz w:val="32"/>
          <w:szCs w:val="32"/>
        </w:rPr>
        <w:t>保障</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（1）无线电管理</w:t>
      </w:r>
    </w:p>
    <w:p>
      <w:pPr>
        <w:spacing w:line="560" w:lineRule="exact"/>
        <w:ind w:firstLine="640" w:firstLineChars="200"/>
        <w:rPr>
          <w:rFonts w:ascii="Times New Roman" w:hAnsi="Times New Roman" w:eastAsia="仿宋_GB2312"/>
          <w:sz w:val="32"/>
          <w:szCs w:val="32"/>
        </w:rPr>
      </w:pPr>
      <w:bookmarkStart w:id="20" w:name="OLE_LINK9"/>
      <w:r>
        <w:rPr>
          <w:rFonts w:hint="eastAsia" w:ascii="Times New Roman" w:hAnsi="Times New Roman" w:eastAsia="仿宋_GB2312"/>
          <w:sz w:val="32"/>
          <w:szCs w:val="32"/>
        </w:rPr>
        <w:t>提升无线电治理水平，形成“统一指挥、属地为主，上下联动、横向配合”的工作格局；加强重点工程电磁环境保护，建成固移结合、查测一体的无线电监测网。加强无线电频谱资源开发利用，满足首都集群指挥调度和城市级宽带数据传输通信需求，制定首都智慧城市+智能交通“一张网”规划。</w:t>
      </w:r>
    </w:p>
    <w:bookmarkEnd w:id="20"/>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（2）信息化建设及运行保障</w:t>
      </w:r>
    </w:p>
    <w:p>
      <w:pPr>
        <w:spacing w:line="560" w:lineRule="exact"/>
        <w:ind w:firstLine="640" w:firstLineChars="200"/>
        <w:rPr>
          <w:rFonts w:ascii="Times New Roman" w:hAnsi="Times New Roman" w:eastAsia="仿宋_GB2312"/>
          <w:sz w:val="32"/>
          <w:szCs w:val="32"/>
        </w:rPr>
      </w:pPr>
      <w:bookmarkStart w:id="21" w:name="OLE_LINK10"/>
      <w:r>
        <w:rPr>
          <w:rFonts w:hint="eastAsia" w:ascii="Times New Roman" w:hAnsi="Times New Roman" w:eastAsia="仿宋_GB2312"/>
          <w:sz w:val="32"/>
          <w:szCs w:val="32"/>
        </w:rPr>
        <w:t>完成极端强降雨洪涝灾害通信设施灾后恢复重建，政务专网重建光缆，恢复基站，建成堡垒基站。圆满完成全国两会、2024年中非合作高峰论坛等重大活动的政务专网安全保障工作。</w:t>
      </w:r>
    </w:p>
    <w:bookmarkEnd w:id="21"/>
    <w:p>
      <w:pPr>
        <w:spacing w:line="560" w:lineRule="exact"/>
        <w:ind w:firstLine="642" w:firstLineChars="200"/>
        <w:rPr>
          <w:rFonts w:ascii="Times New Roman" w:hAnsi="Times New Roman" w:eastAsia="仿宋_GB2312"/>
          <w:b/>
          <w:bCs/>
          <w:sz w:val="32"/>
          <w:szCs w:val="32"/>
        </w:rPr>
      </w:pPr>
      <w:r>
        <w:rPr>
          <w:rFonts w:hint="eastAsia" w:ascii="Times New Roman" w:hAnsi="Times New Roman" w:eastAsia="仿宋_GB2312"/>
          <w:b/>
          <w:bCs/>
          <w:sz w:val="32"/>
          <w:szCs w:val="32"/>
        </w:rPr>
        <w:t>7</w:t>
      </w:r>
      <w:r>
        <w:rPr>
          <w:rFonts w:ascii="Times New Roman" w:hAnsi="Times New Roman" w:eastAsia="仿宋_GB2312"/>
          <w:b/>
          <w:bCs/>
          <w:sz w:val="32"/>
          <w:szCs w:val="32"/>
        </w:rPr>
        <w:t>.信用</w:t>
      </w:r>
      <w:r>
        <w:rPr>
          <w:rFonts w:hint="eastAsia" w:ascii="Times New Roman" w:hAnsi="Times New Roman" w:eastAsia="仿宋_GB2312"/>
          <w:b/>
          <w:bCs/>
          <w:sz w:val="32"/>
          <w:szCs w:val="32"/>
        </w:rPr>
        <w:t>监管服务优化</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（1）信用监管机制建设</w:t>
      </w:r>
    </w:p>
    <w:p>
      <w:pPr>
        <w:spacing w:line="560" w:lineRule="exact"/>
        <w:ind w:firstLine="640" w:firstLineChars="200"/>
        <w:rPr>
          <w:rFonts w:ascii="Times New Roman" w:hAnsi="Times New Roman" w:eastAsia="仿宋_GB2312"/>
          <w:sz w:val="32"/>
          <w:szCs w:val="32"/>
        </w:rPr>
      </w:pPr>
      <w:bookmarkStart w:id="22" w:name="OLE_LINK11"/>
      <w:r>
        <w:rPr>
          <w:rFonts w:ascii="Times New Roman" w:hAnsi="Times New Roman" w:eastAsia="仿宋_GB2312"/>
          <w:sz w:val="32"/>
          <w:szCs w:val="32"/>
        </w:rPr>
        <w:t>建立了全周期的信用监管政策制度体系，包括事前信用承诺、事中信用评价和分级分类监管、事后联合奖惩和信用修复</w:t>
      </w:r>
      <w:r>
        <w:rPr>
          <w:rFonts w:hint="eastAsia" w:ascii="Times New Roman" w:hAnsi="Times New Roman" w:eastAsia="仿宋_GB2312"/>
          <w:sz w:val="32"/>
          <w:szCs w:val="32"/>
        </w:rPr>
        <w:t>。</w:t>
      </w:r>
      <w:r>
        <w:rPr>
          <w:rFonts w:ascii="Times New Roman" w:hAnsi="Times New Roman" w:eastAsia="仿宋_GB2312"/>
          <w:sz w:val="32"/>
          <w:szCs w:val="32"/>
        </w:rPr>
        <w:t>深化各类主体诚信教育，举办</w:t>
      </w:r>
      <w:r>
        <w:rPr>
          <w:rFonts w:hint="eastAsia" w:ascii="Times New Roman" w:hAnsi="Times New Roman" w:eastAsia="仿宋_GB2312"/>
          <w:sz w:val="32"/>
          <w:szCs w:val="32"/>
        </w:rPr>
        <w:t>各类相关</w:t>
      </w:r>
      <w:r>
        <w:rPr>
          <w:rFonts w:ascii="Times New Roman" w:hAnsi="Times New Roman" w:eastAsia="仿宋_GB2312"/>
          <w:sz w:val="32"/>
          <w:szCs w:val="32"/>
        </w:rPr>
        <w:t>活动7场，显著提升经营主体和首都市民的信用意识，培育一大批</w:t>
      </w:r>
      <w:r>
        <w:rPr>
          <w:rFonts w:hint="eastAsia" w:ascii="Times New Roman" w:hAnsi="Times New Roman" w:eastAsia="仿宋_GB2312"/>
          <w:sz w:val="32"/>
          <w:szCs w:val="32"/>
        </w:rPr>
        <w:t>“</w:t>
      </w:r>
      <w:r>
        <w:rPr>
          <w:rFonts w:ascii="Times New Roman" w:hAnsi="Times New Roman" w:eastAsia="仿宋_GB2312"/>
          <w:sz w:val="32"/>
          <w:szCs w:val="32"/>
        </w:rPr>
        <w:t>诚信经营、守信践诺</w:t>
      </w:r>
      <w:r>
        <w:rPr>
          <w:rFonts w:hint="eastAsia" w:ascii="Times New Roman" w:hAnsi="Times New Roman" w:eastAsia="仿宋_GB2312"/>
          <w:sz w:val="32"/>
          <w:szCs w:val="32"/>
        </w:rPr>
        <w:t>”</w:t>
      </w:r>
      <w:r>
        <w:rPr>
          <w:rFonts w:ascii="Times New Roman" w:hAnsi="Times New Roman" w:eastAsia="仿宋_GB2312"/>
          <w:sz w:val="32"/>
          <w:szCs w:val="32"/>
        </w:rPr>
        <w:t>标杆单位，推动企业将守法诚信要求落实到生产经营各环节，促进营商环境改善与提升。利用大数据信息采集和处理技术手段，采集北京市下辖16个区发生的信用事件、信用制度、信用信息公开等方面的信息，定期分析各区信用工作成效，形成督导月报和季报</w:t>
      </w:r>
      <w:r>
        <w:rPr>
          <w:rFonts w:hint="eastAsia" w:ascii="Times New Roman" w:hAnsi="Times New Roman" w:eastAsia="仿宋_GB2312"/>
          <w:sz w:val="32"/>
          <w:szCs w:val="32"/>
        </w:rPr>
        <w:t>。</w:t>
      </w:r>
    </w:p>
    <w:bookmarkEnd w:id="22"/>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信用数据融合共享</w:t>
      </w:r>
    </w:p>
    <w:p>
      <w:pPr>
        <w:spacing w:line="560" w:lineRule="exact"/>
        <w:ind w:firstLine="640" w:firstLineChars="200"/>
        <w:rPr>
          <w:rFonts w:ascii="Times New Roman" w:hAnsi="Times New Roman" w:eastAsia="仿宋_GB2312"/>
          <w:sz w:val="32"/>
          <w:szCs w:val="32"/>
        </w:rPr>
      </w:pPr>
      <w:bookmarkStart w:id="23" w:name="OLE_LINK12"/>
      <w:r>
        <w:rPr>
          <w:rFonts w:ascii="Times New Roman" w:hAnsi="Times New Roman" w:eastAsia="仿宋_GB2312"/>
          <w:sz w:val="32"/>
          <w:szCs w:val="32"/>
        </w:rPr>
        <w:t>建设</w:t>
      </w:r>
      <w:r>
        <w:rPr>
          <w:rFonts w:hint="eastAsia" w:ascii="Times New Roman" w:hAnsi="Times New Roman" w:eastAsia="仿宋_GB2312"/>
          <w:sz w:val="32"/>
          <w:szCs w:val="32"/>
        </w:rPr>
        <w:t>“</w:t>
      </w:r>
      <w:r>
        <w:rPr>
          <w:rFonts w:ascii="Times New Roman" w:hAnsi="Times New Roman" w:eastAsia="仿宋_GB2312"/>
          <w:sz w:val="32"/>
          <w:szCs w:val="32"/>
        </w:rPr>
        <w:t>信用修复高效办成一件事</w:t>
      </w:r>
      <w:r>
        <w:rPr>
          <w:rFonts w:hint="eastAsia" w:ascii="Times New Roman" w:hAnsi="Times New Roman" w:eastAsia="仿宋_GB2312"/>
          <w:sz w:val="32"/>
          <w:szCs w:val="32"/>
        </w:rPr>
        <w:t>”</w:t>
      </w:r>
      <w:r>
        <w:rPr>
          <w:rFonts w:ascii="Times New Roman" w:hAnsi="Times New Roman" w:eastAsia="仿宋_GB2312"/>
          <w:sz w:val="32"/>
          <w:szCs w:val="32"/>
        </w:rPr>
        <w:t>场景，打造申请</w:t>
      </w:r>
      <w:r>
        <w:rPr>
          <w:rFonts w:hint="eastAsia" w:ascii="Times New Roman" w:hAnsi="Times New Roman" w:eastAsia="仿宋_GB2312"/>
          <w:sz w:val="32"/>
          <w:szCs w:val="32"/>
        </w:rPr>
        <w:t>“</w:t>
      </w:r>
      <w:r>
        <w:rPr>
          <w:rFonts w:ascii="Times New Roman" w:hAnsi="Times New Roman" w:eastAsia="仿宋_GB2312"/>
          <w:sz w:val="32"/>
          <w:szCs w:val="32"/>
        </w:rPr>
        <w:t>统一入口</w:t>
      </w:r>
      <w:r>
        <w:rPr>
          <w:rFonts w:hint="eastAsia" w:ascii="Times New Roman" w:hAnsi="Times New Roman" w:eastAsia="仿宋_GB2312"/>
          <w:sz w:val="32"/>
          <w:szCs w:val="32"/>
        </w:rPr>
        <w:t>”</w:t>
      </w:r>
      <w:r>
        <w:rPr>
          <w:rFonts w:ascii="Times New Roman" w:hAnsi="Times New Roman" w:eastAsia="仿宋_GB2312"/>
          <w:sz w:val="32"/>
          <w:szCs w:val="32"/>
        </w:rPr>
        <w:t>，实现结果</w:t>
      </w:r>
      <w:r>
        <w:rPr>
          <w:rFonts w:hint="eastAsia" w:ascii="Times New Roman" w:hAnsi="Times New Roman" w:eastAsia="仿宋_GB2312"/>
          <w:sz w:val="32"/>
          <w:szCs w:val="32"/>
        </w:rPr>
        <w:t>“</w:t>
      </w:r>
      <w:r>
        <w:rPr>
          <w:rFonts w:ascii="Times New Roman" w:hAnsi="Times New Roman" w:eastAsia="仿宋_GB2312"/>
          <w:sz w:val="32"/>
          <w:szCs w:val="32"/>
        </w:rPr>
        <w:t>一并更新</w:t>
      </w:r>
      <w:r>
        <w:rPr>
          <w:rFonts w:hint="eastAsia" w:ascii="Times New Roman" w:hAnsi="Times New Roman" w:eastAsia="仿宋_GB2312"/>
          <w:sz w:val="32"/>
          <w:szCs w:val="32"/>
        </w:rPr>
        <w:t>”</w:t>
      </w:r>
      <w:r>
        <w:rPr>
          <w:rFonts w:ascii="Times New Roman" w:hAnsi="Times New Roman" w:eastAsia="仿宋_GB2312"/>
          <w:sz w:val="32"/>
          <w:szCs w:val="32"/>
        </w:rPr>
        <w:t>；拓展专用信用报告覆盖领域，实现一份报告替代</w:t>
      </w:r>
      <w:r>
        <w:rPr>
          <w:rFonts w:hint="eastAsia" w:ascii="Times New Roman" w:hAnsi="Times New Roman" w:eastAsia="仿宋_GB2312"/>
          <w:sz w:val="32"/>
          <w:szCs w:val="32"/>
        </w:rPr>
        <w:t>多</w:t>
      </w:r>
      <w:r>
        <w:rPr>
          <w:rFonts w:ascii="Times New Roman" w:hAnsi="Times New Roman" w:eastAsia="仿宋_GB2312"/>
          <w:sz w:val="32"/>
          <w:szCs w:val="32"/>
        </w:rPr>
        <w:t>个领域有无违法违规记录证明；整合</w:t>
      </w:r>
      <w:r>
        <w:rPr>
          <w:rFonts w:hint="eastAsia" w:ascii="Times New Roman" w:hAnsi="Times New Roman" w:eastAsia="仿宋_GB2312"/>
          <w:sz w:val="32"/>
          <w:szCs w:val="32"/>
        </w:rPr>
        <w:t>“</w:t>
      </w:r>
      <w:r>
        <w:rPr>
          <w:rFonts w:ascii="Times New Roman" w:hAnsi="Times New Roman" w:eastAsia="仿宋_GB2312"/>
          <w:sz w:val="32"/>
          <w:szCs w:val="32"/>
        </w:rPr>
        <w:t>信易贷</w:t>
      </w:r>
      <w:r>
        <w:rPr>
          <w:rFonts w:hint="eastAsia" w:ascii="Times New Roman" w:hAnsi="Times New Roman" w:eastAsia="仿宋_GB2312"/>
          <w:sz w:val="32"/>
          <w:szCs w:val="32"/>
        </w:rPr>
        <w:t>”</w:t>
      </w:r>
      <w:r>
        <w:rPr>
          <w:rFonts w:ascii="Times New Roman" w:hAnsi="Times New Roman" w:eastAsia="仿宋_GB2312"/>
          <w:sz w:val="32"/>
          <w:szCs w:val="32"/>
        </w:rPr>
        <w:t>等平台，正式上线北京企业融资综合信用服务平台，助力金融服务实体经济。深化京津冀（晋）公共信用数据和社会信用数据治理，提升数据的可用性、好用性，完善数据治理规则、数据治理方案、数据治理操作流程和规范，开展14类信用数据的治理；形成京津冀（晋）</w:t>
      </w:r>
      <w:r>
        <w:rPr>
          <w:rFonts w:hint="eastAsia" w:ascii="Times New Roman" w:hAnsi="Times New Roman" w:eastAsia="仿宋_GB2312"/>
          <w:sz w:val="32"/>
          <w:szCs w:val="32"/>
        </w:rPr>
        <w:t>“</w:t>
      </w:r>
      <w:r>
        <w:rPr>
          <w:rFonts w:ascii="Times New Roman" w:hAnsi="Times New Roman" w:eastAsia="仿宋_GB2312"/>
          <w:sz w:val="32"/>
          <w:szCs w:val="32"/>
        </w:rPr>
        <w:t>信用+医疗</w:t>
      </w:r>
      <w:r>
        <w:rPr>
          <w:rFonts w:hint="eastAsia" w:ascii="Times New Roman" w:hAnsi="Times New Roman" w:eastAsia="仿宋_GB2312"/>
          <w:sz w:val="32"/>
          <w:szCs w:val="32"/>
        </w:rPr>
        <w:t>”“</w:t>
      </w:r>
      <w:r>
        <w:rPr>
          <w:rFonts w:ascii="Times New Roman" w:hAnsi="Times New Roman" w:eastAsia="仿宋_GB2312"/>
          <w:sz w:val="32"/>
          <w:szCs w:val="32"/>
        </w:rPr>
        <w:t>信用+旅游</w:t>
      </w:r>
      <w:r>
        <w:rPr>
          <w:rFonts w:hint="eastAsia" w:ascii="Times New Roman" w:hAnsi="Times New Roman" w:eastAsia="仿宋_GB2312"/>
          <w:sz w:val="32"/>
          <w:szCs w:val="32"/>
        </w:rPr>
        <w:t>”</w:t>
      </w:r>
      <w:r>
        <w:rPr>
          <w:rFonts w:ascii="Times New Roman" w:hAnsi="Times New Roman" w:eastAsia="仿宋_GB2312"/>
          <w:sz w:val="32"/>
          <w:szCs w:val="32"/>
        </w:rPr>
        <w:t>业务标准和服务规范，北京市已有35家医疗机构与大同市国药同煤总医院已经实现了</w:t>
      </w:r>
      <w:r>
        <w:rPr>
          <w:rFonts w:hint="eastAsia" w:ascii="Times New Roman" w:hAnsi="Times New Roman" w:eastAsia="仿宋_GB2312"/>
          <w:sz w:val="32"/>
          <w:szCs w:val="32"/>
        </w:rPr>
        <w:t>“</w:t>
      </w:r>
      <w:r>
        <w:rPr>
          <w:rFonts w:ascii="Times New Roman" w:hAnsi="Times New Roman" w:eastAsia="仿宋_GB2312"/>
          <w:sz w:val="32"/>
          <w:szCs w:val="32"/>
        </w:rPr>
        <w:t>信用+医疗</w:t>
      </w:r>
      <w:r>
        <w:rPr>
          <w:rFonts w:hint="eastAsia" w:ascii="Times New Roman" w:hAnsi="Times New Roman" w:eastAsia="仿宋_GB2312"/>
          <w:sz w:val="32"/>
          <w:szCs w:val="32"/>
        </w:rPr>
        <w:t>”</w:t>
      </w:r>
      <w:r>
        <w:rPr>
          <w:rFonts w:ascii="Times New Roman" w:hAnsi="Times New Roman" w:eastAsia="仿宋_GB2312"/>
          <w:sz w:val="32"/>
          <w:szCs w:val="32"/>
        </w:rPr>
        <w:t>异地互认</w:t>
      </w:r>
      <w:r>
        <w:rPr>
          <w:rFonts w:hint="eastAsia" w:ascii="Times New Roman" w:hAnsi="Times New Roman" w:eastAsia="仿宋_GB2312"/>
          <w:sz w:val="32"/>
          <w:szCs w:val="32"/>
        </w:rPr>
        <w:t>。</w:t>
      </w:r>
    </w:p>
    <w:bookmarkEnd w:id="23"/>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（3）信用服务市场培育发展</w:t>
      </w:r>
    </w:p>
    <w:p>
      <w:pPr>
        <w:spacing w:line="560" w:lineRule="exact"/>
        <w:ind w:firstLine="640" w:firstLineChars="200"/>
      </w:pPr>
      <w:bookmarkStart w:id="24" w:name="OLE_LINK13"/>
      <w:r>
        <w:rPr>
          <w:rFonts w:hint="eastAsia" w:ascii="Times New Roman" w:hAnsi="Times New Roman" w:eastAsia="仿宋_GB2312"/>
          <w:sz w:val="32"/>
          <w:szCs w:val="32"/>
        </w:rPr>
        <w:t>在家政服务领域、文化艺术类培训机构资金监管领域、网约车出行领域开展信用创新应用。对全市多家家政服务机构、对多位家政服务人员开展信用评价，进一步规范了家政服务行业分级分类监管，提高了家政服务人员就业质量。协助多家商业银行对全市多家北京市营利性文化艺术类校外培训机构开展预付式消费资金监管，为多家培训机构提供贷款总额超过1.3亿元，促进培训机构业务规范发展。在网约车平台开展试点，累计共享查询量多笔乘客车费支付/未支付订单数据的共享，初步构建了网约车领域奖惩机制。</w:t>
      </w:r>
    </w:p>
    <w:bookmarkEnd w:id="24"/>
    <w:p>
      <w:pPr>
        <w:spacing w:line="560" w:lineRule="exact"/>
        <w:ind w:firstLine="642" w:firstLineChars="200"/>
        <w:rPr>
          <w:rFonts w:ascii="Times New Roman" w:hAnsi="Times New Roman" w:eastAsia="仿宋_GB2312"/>
          <w:b/>
          <w:bCs/>
          <w:sz w:val="32"/>
          <w:szCs w:val="32"/>
        </w:rPr>
      </w:pPr>
      <w:r>
        <w:rPr>
          <w:rFonts w:hint="eastAsia" w:ascii="Times New Roman" w:hAnsi="Times New Roman" w:eastAsia="仿宋_GB2312"/>
          <w:b/>
          <w:bCs/>
          <w:sz w:val="32"/>
          <w:szCs w:val="32"/>
        </w:rPr>
        <w:t>8</w:t>
      </w:r>
      <w:r>
        <w:rPr>
          <w:rFonts w:ascii="Times New Roman" w:hAnsi="Times New Roman" w:eastAsia="仿宋_GB2312"/>
          <w:b/>
          <w:bCs/>
          <w:sz w:val="32"/>
          <w:szCs w:val="32"/>
        </w:rPr>
        <w:t>.工艺美术产业发展</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（1）北京传统工艺美术产业发展和技艺传承</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向162名北京工艺大师发放2024年度大师带徒补助，通过北京传统工艺美术大师带徒补助，建设一支数量充足、结构合理、技艺精湛、素质优良、传承永续的高级人才队伍，促进北京传统工艺美术产业发展。</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（2）组织北京工艺美术行业相关活动</w:t>
      </w:r>
    </w:p>
    <w:p>
      <w:pPr>
        <w:spacing w:line="560" w:lineRule="exact"/>
        <w:ind w:firstLine="640" w:firstLineChars="200"/>
      </w:pPr>
      <w:r>
        <w:rPr>
          <w:rFonts w:ascii="Times New Roman" w:hAnsi="Times New Roman" w:eastAsia="仿宋_GB2312"/>
          <w:sz w:val="32"/>
          <w:szCs w:val="32"/>
        </w:rPr>
        <w:t>组织2024年北京</w:t>
      </w:r>
      <w:r>
        <w:rPr>
          <w:rFonts w:hint="eastAsia" w:ascii="Times New Roman" w:hAnsi="Times New Roman" w:eastAsia="仿宋_GB2312"/>
          <w:sz w:val="32"/>
          <w:szCs w:val="32"/>
        </w:rPr>
        <w:t>“</w:t>
      </w:r>
      <w:r>
        <w:rPr>
          <w:rFonts w:ascii="Times New Roman" w:hAnsi="Times New Roman" w:eastAsia="仿宋_GB2312"/>
          <w:sz w:val="32"/>
          <w:szCs w:val="32"/>
        </w:rPr>
        <w:t>工美杯</w:t>
      </w:r>
      <w:r>
        <w:rPr>
          <w:rFonts w:hint="eastAsia" w:ascii="Times New Roman" w:hAnsi="Times New Roman" w:eastAsia="仿宋_GB2312"/>
          <w:sz w:val="32"/>
          <w:szCs w:val="32"/>
        </w:rPr>
        <w:t>”</w:t>
      </w:r>
      <w:r>
        <w:rPr>
          <w:rFonts w:ascii="Times New Roman" w:hAnsi="Times New Roman" w:eastAsia="仿宋_GB2312"/>
          <w:sz w:val="32"/>
          <w:szCs w:val="32"/>
        </w:rPr>
        <w:t>创新设计大赛，搭建优秀工艺美术作品展示平台，申报人（单位）300家以上，参评作品达550件，通过</w:t>
      </w:r>
      <w:r>
        <w:rPr>
          <w:rFonts w:hint="eastAsia" w:ascii="Times New Roman" w:hAnsi="Times New Roman" w:eastAsia="仿宋_GB2312"/>
          <w:sz w:val="32"/>
          <w:szCs w:val="32"/>
        </w:rPr>
        <w:t>“</w:t>
      </w:r>
      <w:r>
        <w:rPr>
          <w:rFonts w:ascii="Times New Roman" w:hAnsi="Times New Roman" w:eastAsia="仿宋_GB2312"/>
          <w:sz w:val="32"/>
          <w:szCs w:val="32"/>
        </w:rPr>
        <w:t>工美杯</w:t>
      </w:r>
      <w:r>
        <w:rPr>
          <w:rFonts w:hint="eastAsia" w:ascii="Times New Roman" w:hAnsi="Times New Roman" w:eastAsia="仿宋_GB2312"/>
          <w:sz w:val="32"/>
          <w:szCs w:val="32"/>
        </w:rPr>
        <w:t>”</w:t>
      </w:r>
      <w:r>
        <w:rPr>
          <w:rFonts w:ascii="Times New Roman" w:hAnsi="Times New Roman" w:eastAsia="仿宋_GB2312"/>
          <w:sz w:val="32"/>
          <w:szCs w:val="32"/>
        </w:rPr>
        <w:t>的举办，进一步宣传北京工艺美术行业传承发展的成果，宣传北京工艺美术品牌。</w:t>
      </w:r>
    </w:p>
    <w:p>
      <w:pPr>
        <w:pStyle w:val="3"/>
        <w:keepNext w:val="0"/>
        <w:keepLines w:val="0"/>
        <w:spacing w:before="0" w:after="0" w:line="560" w:lineRule="exact"/>
        <w:ind w:firstLine="640" w:firstLineChars="200"/>
        <w:rPr>
          <w:rFonts w:hint="eastAsia" w:ascii="楷体" w:hAnsi="楷体" w:eastAsia="楷体"/>
          <w:b w:val="0"/>
          <w:bCs w:val="0"/>
        </w:rPr>
      </w:pPr>
      <w:bookmarkStart w:id="25" w:name="_Toc32245"/>
      <w:bookmarkStart w:id="26" w:name="_Toc28652"/>
      <w:r>
        <w:rPr>
          <w:rFonts w:hint="eastAsia" w:ascii="楷体" w:hAnsi="楷体" w:eastAsia="楷体"/>
          <w:b w:val="0"/>
          <w:bCs w:val="0"/>
        </w:rPr>
        <w:t>（二）效果实现情况分析</w:t>
      </w:r>
      <w:bookmarkEnd w:id="25"/>
      <w:bookmarkEnd w:id="26"/>
    </w:p>
    <w:p>
      <w:pPr>
        <w:spacing w:line="560" w:lineRule="exact"/>
        <w:ind w:firstLine="642" w:firstLineChars="200"/>
        <w:outlineLvl w:val="2"/>
        <w:rPr>
          <w:rFonts w:hint="eastAsia" w:ascii="仿宋_GB2312" w:hAnsi="仿宋" w:eastAsia="仿宋_GB2312"/>
          <w:b/>
          <w:sz w:val="32"/>
          <w:szCs w:val="32"/>
        </w:rPr>
      </w:pPr>
      <w:r>
        <w:rPr>
          <w:rFonts w:hint="eastAsia" w:ascii="Times New Roman" w:hAnsi="Times New Roman" w:eastAsia="仿宋_GB2312"/>
          <w:b/>
          <w:sz w:val="32"/>
          <w:szCs w:val="32"/>
        </w:rPr>
        <w:t>1</w:t>
      </w:r>
      <w:r>
        <w:rPr>
          <w:rFonts w:hint="eastAsia" w:ascii="仿宋_GB2312" w:hAnsi="仿宋" w:eastAsia="仿宋_GB2312"/>
          <w:b/>
          <w:sz w:val="32"/>
          <w:szCs w:val="32"/>
        </w:rPr>
        <w:t>.经济效益</w:t>
      </w:r>
    </w:p>
    <w:p>
      <w:pPr>
        <w:spacing w:line="560" w:lineRule="exact"/>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加强增量培育，紧抓政策保障，产业经济运行稳中有进。</w:t>
      </w:r>
      <w:bookmarkStart w:id="27" w:name="OLE_LINK14"/>
      <w:r>
        <w:rPr>
          <w:rFonts w:hint="eastAsia" w:ascii="Times New Roman" w:hAnsi="Times New Roman" w:eastAsia="仿宋_GB2312"/>
          <w:bCs/>
          <w:sz w:val="32"/>
          <w:szCs w:val="32"/>
        </w:rPr>
        <w:t>着力稳定经济增长，培育新增长点，针对市场变化趋势，积极服务好汽车、电子等重点增长行业，争取多方政策资源加大产业投入，经开区、海淀、顺义、朝阳、昌平、大兴等区为产业增长做出突出贡献。</w:t>
      </w:r>
    </w:p>
    <w:bookmarkEnd w:id="27"/>
    <w:p>
      <w:pPr>
        <w:spacing w:line="560" w:lineRule="exact"/>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加强创新引领，紧抓提升改造，高精尖产业发展动能增强。</w:t>
      </w:r>
      <w:bookmarkStart w:id="28" w:name="OLE_LINK15"/>
      <w:r>
        <w:rPr>
          <w:rFonts w:hint="eastAsia" w:ascii="Times New Roman" w:hAnsi="Times New Roman" w:eastAsia="仿宋_GB2312"/>
          <w:bCs/>
          <w:sz w:val="32"/>
          <w:szCs w:val="32"/>
        </w:rPr>
        <w:t>一批代表性高精尖产品取得领先地位。自主研发的通用人形机器人实现全球首例纯电驱全尺寸拟人奔跑。全球最高分辨率的硅基OLED显示器和全球领先的裸眼3D光场显示器正式发布，世界最快转速量产电机V8s刷新行业天花板，全球陆上最大15兆瓦风电机组实现满功率运行，全国首个治疗阿尔茨海默病透皮贴剂获批上市。发展壮大高精尖产业集群，规模以上高技术制造业和战略性新兴产业增加值分别增长9.6%和14.6%，信息软件业产业规模超过3万亿元；医药健康产业规模突破1万亿元，6家知名跨国药企研发总部集中落户国际医药创新公园；智能装备产业新增三个国家级中小企业特色产业集群。移动操作机器人等一批标志性产品成功研制，重点产业链自主可控水平进一步提升。</w:t>
      </w:r>
    </w:p>
    <w:bookmarkEnd w:id="28"/>
    <w:p>
      <w:pPr>
        <w:spacing w:line="560" w:lineRule="exact"/>
        <w:ind w:firstLine="642" w:firstLineChars="200"/>
        <w:outlineLvl w:val="2"/>
        <w:rPr>
          <w:rFonts w:ascii="Times New Roman" w:hAnsi="Times New Roman" w:eastAsia="仿宋_GB2312"/>
          <w:b/>
          <w:sz w:val="32"/>
          <w:szCs w:val="32"/>
        </w:rPr>
      </w:pPr>
      <w:r>
        <w:rPr>
          <w:rFonts w:hint="eastAsia" w:ascii="Times New Roman" w:hAnsi="Times New Roman" w:eastAsia="仿宋_GB2312"/>
          <w:b/>
          <w:sz w:val="32"/>
          <w:szCs w:val="32"/>
        </w:rPr>
        <w:t>2.社会效益</w:t>
      </w:r>
    </w:p>
    <w:p>
      <w:pPr>
        <w:spacing w:line="560" w:lineRule="exact"/>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（1）加强龙头牵引，紧抓结构优化，信息软件业迈上新台阶。</w:t>
      </w:r>
      <w:bookmarkStart w:id="29" w:name="OLE_LINK16"/>
      <w:r>
        <w:rPr>
          <w:rFonts w:hint="eastAsia" w:ascii="Times New Roman" w:hAnsi="Times New Roman" w:eastAsia="仿宋_GB2312"/>
          <w:bCs/>
          <w:sz w:val="32"/>
          <w:szCs w:val="32"/>
        </w:rPr>
        <w:t>推动互联网平台企业引领产业升级，平台企业营业收入占全行业比重约55%，对全行业增长贡献率超85%，以智能体为代表的软件服务新业态初步形成。支持电信运营商加快布局新业务，电信业务总量保持5.5%的稳步增长，其中千兆宽带用户同比增长35%、5G移动用户同比增长22%。电信运营商积极主动布局AI算力、云计算等业务，新兴业务收入占比达35.7%，带动信息传输行业增速达到近三年最高（5.3%）。培育软硬件协同的新业态新产品，元宇宙产业跑通沉浸大空间盈利模式，在教育、文旅等领域形成示范应用体系。</w:t>
      </w:r>
    </w:p>
    <w:bookmarkEnd w:id="29"/>
    <w:p>
      <w:pPr>
        <w:spacing w:line="560" w:lineRule="exact"/>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（2）加强AI赋能，紧抓融合创新，数字经济标杆城市建设步伐加快。</w:t>
      </w:r>
      <w:bookmarkStart w:id="30" w:name="OLE_LINK17"/>
      <w:r>
        <w:rPr>
          <w:rFonts w:hint="eastAsia" w:ascii="Times New Roman" w:hAnsi="Times New Roman" w:eastAsia="仿宋_GB2312"/>
          <w:bCs/>
          <w:sz w:val="32"/>
          <w:szCs w:val="32"/>
        </w:rPr>
        <w:t>全年数字经济增加值达到2.2万亿元，同比增长7.7%，占GDP比重达45%，其中数字经济核心产业增加值同比增长10.4%。人工智能应用加速落地，航天领域发布首个人工智能辅助编程产品，软件研制效率提升30%。</w:t>
      </w:r>
      <w:bookmarkEnd w:id="30"/>
    </w:p>
    <w:p>
      <w:pPr>
        <w:spacing w:line="560" w:lineRule="exact"/>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（3）加强前瞻布局，紧抓场景应用，未来产业积蓄发展新势能。</w:t>
      </w:r>
      <w:bookmarkStart w:id="31" w:name="OLE_LINK18"/>
      <w:r>
        <w:rPr>
          <w:rFonts w:hint="eastAsia" w:ascii="Times New Roman" w:hAnsi="Times New Roman" w:eastAsia="仿宋_GB2312"/>
          <w:bCs/>
          <w:sz w:val="32"/>
          <w:szCs w:val="32"/>
        </w:rPr>
        <w:t>拓展未来产业新赛道，加速推进6G产业布局，6G智简网络架构创新设计初步完成，成功搭建国际首个通信与智能融合的6G试验网，完成国内首次6G星地链路外场地面测试。脑机接口技术走向临床，通过无线微创脑机接口实现了意念控制光标移动、意念控制手套外骨骼持握。量子计算全链发展，超导、离子阱、光量子等技术路线均有布局，稀释制冷机、真空系统、激光器等核心器件均有企业覆盖。启用北京数字人基地，建成动作捕捉、数字人可信存证等15个共性技术平台。发挥场景牵引作用，打造“机器人+园林”全新应用场景示范，6款机器人产品在玉渊潭公园投入使用。落地首钢元宇宙数字体验场景，打造12个元宇宙沉浸式体验项目。氢能汽车示范应用覆盖9个场景，实现3300余辆车推广应用。首个森林防火无人机应用于长城保护试点，实现对八达岭长城全天候、智能化巡检。</w:t>
      </w:r>
      <w:bookmarkEnd w:id="31"/>
    </w:p>
    <w:p>
      <w:pPr>
        <w:spacing w:line="560" w:lineRule="exact"/>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（4）加强信用建设，紧抓专精特新，用心用情用力做好企业服务。</w:t>
      </w:r>
      <w:bookmarkStart w:id="32" w:name="OLE_LINK19"/>
      <w:r>
        <w:rPr>
          <w:rFonts w:hint="eastAsia" w:ascii="Times New Roman" w:hAnsi="Times New Roman" w:eastAsia="仿宋_GB2312"/>
          <w:bCs/>
          <w:sz w:val="32"/>
          <w:szCs w:val="32"/>
        </w:rPr>
        <w:t>推动信用服务业发展，个人征信行业龙头企业朴道征信各类产品累计调用量已超550亿次，实现对互联网主流数据全覆盖。加强政务诚信建设，开展企业创新信用领跑行动，形成守信践诺的良好社会风尚。建立央企服务专项保障机制，推动央企在京机构备案落地制造业和信息软件业项目80个。中小企业创新创业活力不断释放，55个“创客北京”项目进入“创客中国”全国榜单，获奖数量位居全国第一，全市新设经营主体26.46万户，日均新设中小企业720余家。市级专精特新企业达到10199家、总营收达到1.15万亿元，国家级专精特新“小巨人”企业达到1035家，顺利实现“双破万一过千”目标，连续三年保持全国“小巨人”第一城地位。</w:t>
      </w:r>
    </w:p>
    <w:bookmarkEnd w:id="32"/>
    <w:p>
      <w:pPr>
        <w:spacing w:line="560" w:lineRule="exact"/>
        <w:ind w:firstLine="642" w:firstLineChars="200"/>
        <w:outlineLvl w:val="2"/>
        <w:rPr>
          <w:rFonts w:ascii="Times New Roman" w:hAnsi="Times New Roman" w:eastAsia="仿宋_GB2312"/>
          <w:bCs/>
          <w:sz w:val="32"/>
          <w:szCs w:val="32"/>
        </w:rPr>
      </w:pPr>
      <w:r>
        <w:rPr>
          <w:rFonts w:hint="eastAsia" w:ascii="Times New Roman" w:hAnsi="Times New Roman" w:eastAsia="仿宋_GB2312"/>
          <w:b/>
          <w:sz w:val="32"/>
          <w:szCs w:val="32"/>
        </w:rPr>
        <w:t>3.可持续性影响</w:t>
      </w:r>
    </w:p>
    <w:p>
      <w:pPr>
        <w:spacing w:line="560" w:lineRule="exact"/>
        <w:ind w:firstLine="640" w:firstLineChars="200"/>
        <w:rPr>
          <w:rFonts w:hint="eastAsia" w:ascii="Times New Roman" w:hAnsi="Times New Roman" w:eastAsia="仿宋_GB2312"/>
          <w:bCs/>
          <w:sz w:val="32"/>
          <w:szCs w:val="32"/>
        </w:rPr>
      </w:pPr>
      <w:r>
        <w:rPr>
          <w:rFonts w:hint="eastAsia" w:ascii="Times New Roman" w:hAnsi="Times New Roman" w:eastAsia="仿宋_GB2312"/>
          <w:bCs/>
          <w:sz w:val="32"/>
          <w:szCs w:val="32"/>
        </w:rPr>
        <w:t>（1）加强协同创新，紧抓产业合作，京津冀产业协同纵深推进。疏解非首都功能，联合发布实施绿色低碳园区评价导则等一批团体标准。推进产业共链发展，印发6条重点产业链图谱落地方案，津冀200余家关键零部件企业进入北京整车供应链；国内首条高速自动驾驶干线物流货运场景在京津塘高速全线贯通；京津冀数字化转型促进中心在雄安正式揭牌。培育先进制造业集群，京津冀集成电路、智能网联新能源汽车等5个集群成功申创国家级先进制造业集群。</w:t>
      </w:r>
    </w:p>
    <w:p>
      <w:pPr>
        <w:spacing w:line="560" w:lineRule="exact"/>
        <w:ind w:firstLine="640" w:firstLineChars="200"/>
      </w:pPr>
      <w:bookmarkStart w:id="57" w:name="_GoBack"/>
      <w:bookmarkEnd w:id="57"/>
      <w:r>
        <w:rPr>
          <w:rFonts w:hint="eastAsia" w:ascii="Times New Roman" w:hAnsi="Times New Roman" w:eastAsia="仿宋_GB2312"/>
          <w:bCs/>
          <w:sz w:val="32"/>
          <w:szCs w:val="32"/>
        </w:rPr>
        <w:t>（2）加强国防建设，紧抓核心能力，先进科技工业体系加快构建。</w:t>
      </w:r>
      <w:bookmarkStart w:id="33" w:name="OLE_LINK20"/>
      <w:r>
        <w:rPr>
          <w:rFonts w:hint="eastAsia" w:ascii="Times New Roman" w:hAnsi="Times New Roman" w:eastAsia="仿宋_GB2312"/>
          <w:bCs/>
          <w:sz w:val="32"/>
          <w:szCs w:val="32"/>
        </w:rPr>
        <w:t>圆满完成探月工程四期等相关任务保障；保障商业运载火箭发射13次，全国占比68%。提升涉军企业服务水平，全力支撑核心能力建设，积极开展军民双向对接服务，组织近多家优势民口企业承接国防领域科研项目，组织重点涉军企业与金融机构开展融资专项对接，推动缓解企业融资难题。</w:t>
      </w:r>
    </w:p>
    <w:bookmarkEnd w:id="33"/>
    <w:p>
      <w:pPr>
        <w:spacing w:line="560" w:lineRule="exact"/>
        <w:ind w:firstLine="642" w:firstLineChars="200"/>
        <w:outlineLvl w:val="2"/>
        <w:rPr>
          <w:rFonts w:ascii="Times New Roman" w:hAnsi="Times New Roman" w:eastAsia="仿宋_GB2312"/>
          <w:b/>
          <w:sz w:val="32"/>
          <w:szCs w:val="32"/>
        </w:rPr>
      </w:pPr>
      <w:r>
        <w:rPr>
          <w:rFonts w:hint="eastAsia" w:ascii="Times New Roman" w:hAnsi="Times New Roman" w:eastAsia="仿宋_GB2312"/>
          <w:b/>
          <w:sz w:val="32"/>
          <w:szCs w:val="32"/>
        </w:rPr>
        <w:t>4.服务对象满意度</w:t>
      </w:r>
    </w:p>
    <w:p>
      <w:pPr>
        <w:spacing w:line="560" w:lineRule="exact"/>
        <w:ind w:firstLine="640" w:firstLineChars="200"/>
        <w:rPr>
          <w:rFonts w:ascii="Times New Roman" w:hAnsi="Times New Roman" w:eastAsia="仿宋_GB2312"/>
          <w:bCs/>
          <w:sz w:val="32"/>
          <w:szCs w:val="32"/>
        </w:rPr>
      </w:pPr>
      <w:r>
        <w:rPr>
          <w:rFonts w:ascii="Times New Roman" w:hAnsi="Times New Roman" w:eastAsia="仿宋_GB2312"/>
          <w:bCs/>
          <w:sz w:val="32"/>
          <w:szCs w:val="32"/>
        </w:rPr>
        <w:t>北京市人民政府办公厅对</w:t>
      </w:r>
      <w:r>
        <w:rPr>
          <w:rFonts w:hint="eastAsia" w:ascii="Times New Roman" w:hAnsi="Times New Roman" w:eastAsia="仿宋_GB2312"/>
          <w:bCs/>
          <w:sz w:val="32"/>
          <w:szCs w:val="32"/>
        </w:rPr>
        <w:t>市经信局2024年度</w:t>
      </w:r>
      <w:r>
        <w:rPr>
          <w:rFonts w:ascii="Times New Roman" w:hAnsi="Times New Roman" w:eastAsia="仿宋_GB2312"/>
          <w:bCs/>
          <w:sz w:val="32"/>
          <w:szCs w:val="32"/>
        </w:rPr>
        <w:t>的绩效考评等次为</w:t>
      </w:r>
      <w:r>
        <w:rPr>
          <w:rFonts w:hint="eastAsia" w:ascii="Times New Roman" w:hAnsi="Times New Roman" w:eastAsia="仿宋_GB2312"/>
          <w:bCs/>
          <w:sz w:val="32"/>
          <w:szCs w:val="32"/>
        </w:rPr>
        <w:t>“</w:t>
      </w:r>
      <w:r>
        <w:rPr>
          <w:rFonts w:ascii="Times New Roman" w:hAnsi="Times New Roman" w:eastAsia="仿宋_GB2312"/>
          <w:bCs/>
          <w:sz w:val="32"/>
          <w:szCs w:val="32"/>
        </w:rPr>
        <w:t>优秀</w:t>
      </w:r>
      <w:r>
        <w:rPr>
          <w:rFonts w:hint="eastAsia" w:ascii="Times New Roman" w:hAnsi="Times New Roman" w:eastAsia="仿宋_GB2312"/>
          <w:bCs/>
          <w:sz w:val="32"/>
          <w:szCs w:val="32"/>
        </w:rPr>
        <w:t>”</w:t>
      </w:r>
      <w:r>
        <w:rPr>
          <w:rFonts w:ascii="Times New Roman" w:hAnsi="Times New Roman" w:eastAsia="仿宋_GB2312"/>
          <w:bCs/>
          <w:sz w:val="32"/>
          <w:szCs w:val="32"/>
        </w:rPr>
        <w:t>。</w:t>
      </w:r>
    </w:p>
    <w:p>
      <w:pPr>
        <w:pStyle w:val="2"/>
        <w:keepNext w:val="0"/>
        <w:keepLines w:val="0"/>
        <w:spacing w:before="0" w:after="0" w:line="560" w:lineRule="exact"/>
        <w:ind w:firstLine="640" w:firstLineChars="200"/>
        <w:rPr>
          <w:rFonts w:hint="eastAsia" w:ascii="黑体" w:hAnsi="黑体" w:eastAsia="黑体"/>
          <w:b w:val="0"/>
          <w:bCs w:val="0"/>
          <w:sz w:val="32"/>
          <w:szCs w:val="32"/>
        </w:rPr>
      </w:pPr>
      <w:bookmarkStart w:id="34" w:name="_Toc18210"/>
      <w:bookmarkStart w:id="35" w:name="_Toc31392"/>
      <w:r>
        <w:rPr>
          <w:rFonts w:hint="eastAsia" w:ascii="黑体" w:hAnsi="黑体" w:eastAsia="黑体"/>
          <w:b w:val="0"/>
          <w:bCs w:val="0"/>
          <w:sz w:val="32"/>
          <w:szCs w:val="32"/>
        </w:rPr>
        <w:t>四、预算管理情况分析</w:t>
      </w:r>
      <w:bookmarkEnd w:id="34"/>
      <w:bookmarkEnd w:id="35"/>
    </w:p>
    <w:p>
      <w:pPr>
        <w:pStyle w:val="3"/>
        <w:keepNext w:val="0"/>
        <w:keepLines w:val="0"/>
        <w:spacing w:before="0" w:after="0" w:line="560" w:lineRule="exact"/>
        <w:ind w:firstLine="640" w:firstLineChars="200"/>
        <w:rPr>
          <w:rFonts w:hint="eastAsia" w:ascii="楷体" w:hAnsi="楷体" w:eastAsia="楷体"/>
          <w:b w:val="0"/>
          <w:bCs w:val="0"/>
        </w:rPr>
      </w:pPr>
      <w:bookmarkStart w:id="36" w:name="_Toc8654"/>
      <w:bookmarkStart w:id="37" w:name="_Toc21438"/>
      <w:r>
        <w:rPr>
          <w:rFonts w:hint="eastAsia" w:ascii="楷体" w:hAnsi="楷体" w:eastAsia="楷体"/>
          <w:b w:val="0"/>
          <w:bCs w:val="0"/>
        </w:rPr>
        <w:t>（一）财务管理</w:t>
      </w:r>
      <w:bookmarkEnd w:id="36"/>
      <w:bookmarkEnd w:id="37"/>
    </w:p>
    <w:p>
      <w:pPr>
        <w:spacing w:line="560" w:lineRule="exact"/>
        <w:ind w:firstLine="642" w:firstLineChars="200"/>
        <w:outlineLvl w:val="2"/>
        <w:rPr>
          <w:rFonts w:ascii="Times New Roman" w:hAnsi="Times New Roman" w:eastAsia="仿宋_GB2312"/>
          <w:b/>
          <w:sz w:val="32"/>
          <w:szCs w:val="32"/>
        </w:rPr>
      </w:pPr>
      <w:r>
        <w:rPr>
          <w:rFonts w:ascii="Times New Roman" w:hAnsi="Times New Roman" w:eastAsia="仿宋_GB2312"/>
          <w:b/>
          <w:sz w:val="32"/>
          <w:szCs w:val="32"/>
        </w:rPr>
        <w:t>1.财务管理制度</w:t>
      </w:r>
      <w:r>
        <w:rPr>
          <w:rFonts w:hint="eastAsia" w:ascii="Times New Roman" w:hAnsi="Times New Roman" w:eastAsia="仿宋_GB2312"/>
          <w:b/>
          <w:sz w:val="32"/>
          <w:szCs w:val="32"/>
        </w:rPr>
        <w:t>健全完善</w:t>
      </w:r>
    </w:p>
    <w:p>
      <w:pPr>
        <w:spacing w:line="560" w:lineRule="exact"/>
        <w:ind w:firstLine="640" w:firstLineChars="200"/>
        <w:rPr>
          <w:rFonts w:ascii="Times New Roman" w:hAnsi="Times New Roman" w:eastAsia="仿宋_GB2312"/>
          <w:bCs/>
          <w:sz w:val="32"/>
          <w:szCs w:val="32"/>
        </w:rPr>
      </w:pPr>
      <w:r>
        <w:rPr>
          <w:rFonts w:ascii="Times New Roman" w:hAnsi="Times New Roman" w:eastAsia="仿宋_GB2312"/>
          <w:bCs/>
          <w:sz w:val="32"/>
          <w:szCs w:val="32"/>
        </w:rPr>
        <w:t>为全面提升财务管理</w:t>
      </w:r>
      <w:r>
        <w:rPr>
          <w:rFonts w:hint="eastAsia" w:ascii="Times New Roman" w:hAnsi="Times New Roman" w:eastAsia="仿宋_GB2312"/>
          <w:bCs/>
          <w:sz w:val="32"/>
          <w:szCs w:val="32"/>
        </w:rPr>
        <w:t>能力和</w:t>
      </w:r>
      <w:r>
        <w:rPr>
          <w:rFonts w:ascii="Times New Roman" w:hAnsi="Times New Roman" w:eastAsia="仿宋_GB2312"/>
          <w:bCs/>
          <w:sz w:val="32"/>
          <w:szCs w:val="32"/>
        </w:rPr>
        <w:t>水平，</w:t>
      </w:r>
      <w:r>
        <w:rPr>
          <w:rFonts w:hint="eastAsia" w:ascii="Times New Roman" w:hAnsi="Times New Roman" w:eastAsia="仿宋_GB2312"/>
          <w:bCs/>
          <w:sz w:val="32"/>
          <w:szCs w:val="32"/>
        </w:rPr>
        <w:t>市经信局</w:t>
      </w:r>
      <w:r>
        <w:rPr>
          <w:rFonts w:ascii="Times New Roman" w:hAnsi="Times New Roman" w:eastAsia="仿宋_GB2312"/>
          <w:bCs/>
          <w:sz w:val="32"/>
          <w:szCs w:val="32"/>
        </w:rPr>
        <w:t>持续完善财务管理制度体系，严格规范资金审批、预算管理、会计核算、资产</w:t>
      </w:r>
      <w:r>
        <w:rPr>
          <w:rFonts w:hint="eastAsia" w:ascii="Times New Roman" w:hAnsi="Times New Roman" w:eastAsia="仿宋_GB2312"/>
          <w:bCs/>
          <w:sz w:val="32"/>
          <w:szCs w:val="32"/>
        </w:rPr>
        <w:t>管理</w:t>
      </w:r>
      <w:r>
        <w:rPr>
          <w:rFonts w:ascii="Times New Roman" w:hAnsi="Times New Roman" w:eastAsia="仿宋_GB2312"/>
          <w:bCs/>
          <w:sz w:val="32"/>
          <w:szCs w:val="32"/>
        </w:rPr>
        <w:t>、政府采购及委托外包等重点环节。2024年制定实施《</w:t>
      </w:r>
      <w:r>
        <w:rPr>
          <w:rFonts w:hint="eastAsia" w:ascii="Times New Roman" w:hAnsi="Times New Roman" w:eastAsia="仿宋_GB2312"/>
          <w:bCs/>
          <w:sz w:val="32"/>
          <w:szCs w:val="32"/>
        </w:rPr>
        <w:t>北京市经济和信息化局委托外包管理办法</w:t>
      </w:r>
      <w:r>
        <w:rPr>
          <w:rFonts w:ascii="Times New Roman" w:hAnsi="Times New Roman" w:eastAsia="仿宋_GB2312"/>
          <w:bCs/>
          <w:sz w:val="32"/>
          <w:szCs w:val="32"/>
        </w:rPr>
        <w:t>》，通过明确外包项目范围、规范实施程序、细化部门权责、完善监管机制，强化全过程动态管控与绩效评价，切实提升财政资金配置效率和使用效益。</w:t>
      </w:r>
    </w:p>
    <w:p>
      <w:pPr>
        <w:spacing w:line="560" w:lineRule="exact"/>
        <w:ind w:firstLine="642" w:firstLineChars="200"/>
        <w:outlineLvl w:val="2"/>
        <w:rPr>
          <w:rFonts w:ascii="Times New Roman" w:hAnsi="Times New Roman" w:eastAsia="仿宋_GB2312"/>
          <w:b/>
          <w:sz w:val="32"/>
          <w:szCs w:val="32"/>
        </w:rPr>
      </w:pPr>
      <w:r>
        <w:rPr>
          <w:rFonts w:ascii="Times New Roman" w:hAnsi="Times New Roman" w:eastAsia="仿宋_GB2312"/>
          <w:b/>
          <w:sz w:val="32"/>
          <w:szCs w:val="32"/>
        </w:rPr>
        <w:t>2.资金使用安全合规</w:t>
      </w:r>
    </w:p>
    <w:p>
      <w:pPr>
        <w:spacing w:line="560" w:lineRule="exact"/>
        <w:ind w:firstLine="642" w:firstLineChars="200"/>
        <w:rPr>
          <w:rFonts w:ascii="Times New Roman" w:hAnsi="Times New Roman" w:eastAsia="仿宋_GB2312"/>
          <w:bCs/>
          <w:sz w:val="32"/>
          <w:szCs w:val="32"/>
        </w:rPr>
      </w:pPr>
      <w:r>
        <w:rPr>
          <w:rFonts w:ascii="Times New Roman" w:hAnsi="Times New Roman" w:eastAsia="仿宋_GB2312"/>
          <w:b/>
          <w:sz w:val="32"/>
          <w:szCs w:val="32"/>
        </w:rPr>
        <w:t>一是</w:t>
      </w:r>
      <w:r>
        <w:rPr>
          <w:rFonts w:ascii="Times New Roman" w:hAnsi="Times New Roman" w:eastAsia="仿宋_GB2312"/>
          <w:bCs/>
          <w:sz w:val="32"/>
          <w:szCs w:val="32"/>
        </w:rPr>
        <w:t>严格资金审批拨付流程，确保资金使用合规。落实重大资金安排评审管理制度，年度资金分配、资金支出均按要求履行相关报批手续。未发现截留、挤占、挪用、虚列支出等情况，资金使用合规性较好。</w:t>
      </w:r>
    </w:p>
    <w:p>
      <w:pPr>
        <w:spacing w:line="560" w:lineRule="exact"/>
        <w:ind w:firstLine="642" w:firstLineChars="200"/>
      </w:pPr>
      <w:r>
        <w:rPr>
          <w:rFonts w:ascii="Times New Roman" w:hAnsi="Times New Roman" w:eastAsia="仿宋_GB2312"/>
          <w:b/>
          <w:sz w:val="32"/>
          <w:szCs w:val="32"/>
        </w:rPr>
        <w:t>二是</w:t>
      </w:r>
      <w:r>
        <w:rPr>
          <w:rFonts w:ascii="Times New Roman" w:hAnsi="Times New Roman" w:eastAsia="仿宋_GB2312"/>
          <w:bCs/>
          <w:sz w:val="32"/>
          <w:szCs w:val="32"/>
        </w:rPr>
        <w:t>明确财务内部牵制管理，提高资金使用安全性。按照机构分离、职务分离、钱账分离、物账分离的原则，通过职责分工、业务程序的适当安排，使各项业务活动自动被其他流程业务人员查证核对，保障了资金使用的安全性。</w:t>
      </w:r>
    </w:p>
    <w:p>
      <w:pPr>
        <w:spacing w:line="560" w:lineRule="exact"/>
        <w:ind w:firstLine="642" w:firstLineChars="200"/>
        <w:outlineLvl w:val="2"/>
        <w:rPr>
          <w:rFonts w:ascii="Times New Roman" w:hAnsi="Times New Roman" w:eastAsia="仿宋_GB2312"/>
          <w:b/>
          <w:sz w:val="32"/>
          <w:szCs w:val="32"/>
        </w:rPr>
      </w:pPr>
      <w:r>
        <w:rPr>
          <w:rFonts w:ascii="Times New Roman" w:hAnsi="Times New Roman" w:eastAsia="仿宋_GB2312"/>
          <w:b/>
          <w:sz w:val="32"/>
          <w:szCs w:val="32"/>
        </w:rPr>
        <w:t>3.会计基础信息完整准确</w:t>
      </w:r>
    </w:p>
    <w:p>
      <w:pPr>
        <w:spacing w:line="560" w:lineRule="exact"/>
        <w:ind w:firstLine="642" w:firstLineChars="200"/>
        <w:rPr>
          <w:rFonts w:ascii="Times New Roman" w:hAnsi="Times New Roman" w:eastAsia="仿宋_GB2312"/>
          <w:bCs/>
          <w:sz w:val="32"/>
          <w:szCs w:val="32"/>
        </w:rPr>
      </w:pPr>
      <w:r>
        <w:rPr>
          <w:rFonts w:ascii="Times New Roman" w:hAnsi="Times New Roman" w:eastAsia="仿宋_GB2312"/>
          <w:b/>
          <w:sz w:val="32"/>
          <w:szCs w:val="32"/>
        </w:rPr>
        <w:t>一是</w:t>
      </w:r>
      <w:r>
        <w:rPr>
          <w:rFonts w:ascii="Times New Roman" w:hAnsi="Times New Roman" w:eastAsia="仿宋_GB2312"/>
          <w:bCs/>
          <w:sz w:val="32"/>
          <w:szCs w:val="32"/>
        </w:rPr>
        <w:t>会计核算方面，对项目资金进行单独建账、独立核算，过程中加强对会计凭证的审核与监督，保障了会计核算的规范性和准确性。从各类审计及检查反馈结果来看，会计基础信息真实、准确、完善，未发现各类风险及规范性问题。</w:t>
      </w:r>
    </w:p>
    <w:p>
      <w:pPr>
        <w:spacing w:line="560" w:lineRule="exact"/>
        <w:ind w:firstLine="642" w:firstLineChars="200"/>
      </w:pPr>
      <w:r>
        <w:rPr>
          <w:rFonts w:hint="eastAsia" w:ascii="Times New Roman" w:hAnsi="Times New Roman" w:eastAsia="仿宋_GB2312"/>
          <w:b/>
          <w:sz w:val="32"/>
          <w:szCs w:val="32"/>
        </w:rPr>
        <w:t>二是</w:t>
      </w:r>
      <w:r>
        <w:rPr>
          <w:rFonts w:ascii="Times New Roman" w:hAnsi="Times New Roman" w:eastAsia="仿宋_GB2312"/>
          <w:bCs/>
          <w:sz w:val="32"/>
          <w:szCs w:val="32"/>
        </w:rPr>
        <w:t>财务档案管理</w:t>
      </w:r>
      <w:r>
        <w:rPr>
          <w:rFonts w:hint="eastAsia" w:ascii="Times New Roman" w:hAnsi="Times New Roman" w:eastAsia="仿宋_GB2312"/>
          <w:bCs/>
          <w:sz w:val="32"/>
          <w:szCs w:val="32"/>
        </w:rPr>
        <w:t>方面</w:t>
      </w:r>
      <w:r>
        <w:rPr>
          <w:rFonts w:ascii="Times New Roman" w:hAnsi="Times New Roman" w:eastAsia="仿宋_GB2312"/>
          <w:bCs/>
          <w:sz w:val="32"/>
          <w:szCs w:val="32"/>
        </w:rPr>
        <w:t>，</w:t>
      </w:r>
      <w:r>
        <w:rPr>
          <w:rFonts w:hint="eastAsia" w:ascii="Times New Roman" w:hAnsi="Times New Roman" w:eastAsia="仿宋_GB2312"/>
          <w:bCs/>
          <w:sz w:val="32"/>
          <w:szCs w:val="32"/>
        </w:rPr>
        <w:t>市经信局</w:t>
      </w:r>
      <w:r>
        <w:rPr>
          <w:rFonts w:ascii="Times New Roman" w:hAnsi="Times New Roman" w:eastAsia="仿宋_GB2312"/>
          <w:bCs/>
          <w:sz w:val="32"/>
          <w:szCs w:val="32"/>
        </w:rPr>
        <w:t>总账、明细账、日记账、会计凭证等基础财务资料保存完好，并及时完成装订、归档等工作，会计基础信息完整完善。</w:t>
      </w:r>
    </w:p>
    <w:p>
      <w:pPr>
        <w:pStyle w:val="3"/>
        <w:keepNext w:val="0"/>
        <w:keepLines w:val="0"/>
        <w:spacing w:before="0" w:after="0" w:line="560" w:lineRule="exact"/>
        <w:ind w:firstLine="640" w:firstLineChars="200"/>
        <w:rPr>
          <w:rFonts w:ascii="Times New Roman" w:hAnsi="Times New Roman" w:eastAsia="楷体"/>
          <w:b w:val="0"/>
          <w:bCs w:val="0"/>
        </w:rPr>
      </w:pPr>
      <w:bookmarkStart w:id="38" w:name="_Toc26513"/>
      <w:bookmarkStart w:id="39" w:name="_Toc31990"/>
      <w:r>
        <w:rPr>
          <w:rFonts w:ascii="Times New Roman" w:hAnsi="Times New Roman" w:eastAsia="楷体"/>
          <w:b w:val="0"/>
          <w:bCs w:val="0"/>
        </w:rPr>
        <w:t>（二）资产管理</w:t>
      </w:r>
      <w:bookmarkEnd w:id="38"/>
      <w:bookmarkEnd w:id="39"/>
    </w:p>
    <w:p>
      <w:pPr>
        <w:spacing w:line="560" w:lineRule="exact"/>
        <w:ind w:firstLine="642" w:firstLineChars="200"/>
        <w:rPr>
          <w:rFonts w:ascii="Times New Roman" w:hAnsi="Times New Roman" w:eastAsia="仿宋_GB2312"/>
          <w:b/>
          <w:bCs/>
          <w:color w:val="000000"/>
          <w:sz w:val="32"/>
          <w:szCs w:val="32"/>
        </w:rPr>
      </w:pPr>
      <w:r>
        <w:rPr>
          <w:rFonts w:ascii="Times New Roman" w:hAnsi="Times New Roman" w:eastAsia="仿宋_GB2312"/>
          <w:b/>
          <w:bCs/>
          <w:color w:val="000000"/>
          <w:sz w:val="32"/>
          <w:szCs w:val="32"/>
        </w:rPr>
        <w:t>1.</w:t>
      </w:r>
      <w:r>
        <w:rPr>
          <w:rFonts w:hint="eastAsia" w:ascii="Times New Roman" w:hAnsi="Times New Roman" w:eastAsia="仿宋_GB2312"/>
          <w:b/>
          <w:bCs/>
          <w:color w:val="000000"/>
          <w:sz w:val="32"/>
          <w:szCs w:val="32"/>
        </w:rPr>
        <w:t>落实</w:t>
      </w:r>
      <w:r>
        <w:rPr>
          <w:rFonts w:ascii="Times New Roman" w:hAnsi="Times New Roman" w:eastAsia="仿宋_GB2312"/>
          <w:b/>
          <w:bCs/>
          <w:color w:val="000000"/>
          <w:sz w:val="32"/>
          <w:szCs w:val="32"/>
        </w:rPr>
        <w:t>资产管理相关制度</w:t>
      </w:r>
    </w:p>
    <w:p>
      <w:pPr>
        <w:spacing w:line="600" w:lineRule="exact"/>
        <w:ind w:firstLine="640" w:firstLineChars="200"/>
        <w:rPr>
          <w:rFonts w:hint="eastAsia" w:ascii="仿宋_GB2312" w:hAnsi="宋体" w:eastAsia="仿宋_GB2312" w:cs="宋体"/>
          <w:color w:val="000000"/>
          <w:kern w:val="0"/>
          <w:sz w:val="32"/>
          <w:szCs w:val="32"/>
        </w:rPr>
      </w:pPr>
      <w:r>
        <w:rPr>
          <w:rFonts w:ascii="Times New Roman" w:hAnsi="Times New Roman" w:eastAsia="仿宋_GB2312"/>
          <w:color w:val="000000"/>
          <w:sz w:val="32"/>
          <w:szCs w:val="32"/>
        </w:rPr>
        <w:t>按照</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合理配置、分工负责、归口管理、依规使用、毁损问责</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的原则，管理调配局机关资产</w:t>
      </w:r>
      <w:r>
        <w:rPr>
          <w:rFonts w:hint="eastAsia" w:ascii="Times New Roman" w:hAnsi="Times New Roman" w:eastAsia="仿宋_GB2312"/>
          <w:color w:val="000000"/>
          <w:sz w:val="32"/>
          <w:szCs w:val="32"/>
        </w:rPr>
        <w:t>。</w:t>
      </w:r>
      <w:r>
        <w:rPr>
          <w:rFonts w:hint="eastAsia" w:ascii="仿宋_GB2312" w:hAnsi="宋体" w:eastAsia="仿宋_GB2312" w:cs="宋体"/>
          <w:color w:val="000000"/>
          <w:kern w:val="0"/>
          <w:sz w:val="32"/>
          <w:szCs w:val="32"/>
        </w:rPr>
        <w:t>对固定资产实行动态管理，及时更新资产信息，更换资产条码，保证固定资产账账、账实、账表相符。</w:t>
      </w:r>
    </w:p>
    <w:p>
      <w:pPr>
        <w:spacing w:line="560" w:lineRule="exact"/>
        <w:ind w:firstLine="642" w:firstLineChars="200"/>
        <w:rPr>
          <w:rFonts w:ascii="Times New Roman" w:hAnsi="Times New Roman" w:eastAsia="仿宋_GB2312"/>
          <w:b/>
          <w:bCs/>
          <w:color w:val="000000"/>
          <w:sz w:val="32"/>
          <w:szCs w:val="32"/>
        </w:rPr>
      </w:pPr>
      <w:r>
        <w:rPr>
          <w:rFonts w:ascii="Times New Roman" w:hAnsi="Times New Roman" w:eastAsia="仿宋_GB2312"/>
          <w:b/>
          <w:bCs/>
          <w:color w:val="000000"/>
          <w:sz w:val="32"/>
          <w:szCs w:val="32"/>
        </w:rPr>
        <w:t>2.开展年度资产清查，夯实资产管理基础</w:t>
      </w:r>
    </w:p>
    <w:p>
      <w:pPr>
        <w:spacing w:line="560" w:lineRule="exact"/>
        <w:ind w:firstLine="642" w:firstLineChars="200"/>
        <w:rPr>
          <w:rFonts w:ascii="Times New Roman" w:hAnsi="Times New Roman" w:eastAsia="仿宋_GB2312"/>
          <w:color w:val="000000"/>
          <w:sz w:val="32"/>
          <w:szCs w:val="32"/>
        </w:rPr>
      </w:pPr>
      <w:r>
        <w:rPr>
          <w:rFonts w:ascii="Times New Roman" w:hAnsi="Times New Roman" w:eastAsia="仿宋_GB2312"/>
          <w:b/>
          <w:bCs/>
          <w:color w:val="000000"/>
          <w:sz w:val="32"/>
          <w:szCs w:val="32"/>
        </w:rPr>
        <w:t>一是</w:t>
      </w:r>
      <w:r>
        <w:rPr>
          <w:rFonts w:ascii="Times New Roman" w:hAnsi="Times New Roman" w:eastAsia="仿宋_GB2312"/>
          <w:color w:val="000000"/>
          <w:sz w:val="32"/>
          <w:szCs w:val="32"/>
        </w:rPr>
        <w:t>以内部自查和定点清查的方式开展年度资产清查工作，全面真实掌握机关固定资产的数量、价值和配置使用情况</w:t>
      </w:r>
      <w:r>
        <w:rPr>
          <w:rFonts w:hint="eastAsia" w:ascii="Times New Roman" w:hAnsi="Times New Roman" w:eastAsia="仿宋_GB2312"/>
          <w:color w:val="000000"/>
          <w:sz w:val="32"/>
          <w:szCs w:val="32"/>
        </w:rPr>
        <w:t>，不存在未经批准擅自出租、出借等行为，不存在因资产管理不当发生严重资产损失和丢失的情况</w:t>
      </w:r>
      <w:r>
        <w:rPr>
          <w:rFonts w:ascii="Times New Roman" w:hAnsi="Times New Roman" w:eastAsia="仿宋_GB2312"/>
          <w:color w:val="000000"/>
          <w:sz w:val="32"/>
          <w:szCs w:val="32"/>
        </w:rPr>
        <w:t>。</w:t>
      </w:r>
    </w:p>
    <w:p>
      <w:pPr>
        <w:spacing w:line="560" w:lineRule="exact"/>
        <w:ind w:firstLine="642" w:firstLineChars="200"/>
        <w:rPr>
          <w:rFonts w:ascii="Times New Roman" w:hAnsi="Times New Roman" w:eastAsia="仿宋_GB2312"/>
          <w:color w:val="000000"/>
          <w:sz w:val="32"/>
          <w:szCs w:val="32"/>
        </w:rPr>
      </w:pPr>
      <w:r>
        <w:rPr>
          <w:rFonts w:ascii="Times New Roman" w:hAnsi="Times New Roman" w:eastAsia="仿宋_GB2312"/>
          <w:b/>
          <w:bCs/>
          <w:color w:val="000000"/>
          <w:sz w:val="32"/>
          <w:szCs w:val="32"/>
        </w:rPr>
        <w:t>二是</w:t>
      </w:r>
      <w:r>
        <w:rPr>
          <w:rFonts w:ascii="Times New Roman" w:hAnsi="Times New Roman" w:eastAsia="仿宋_GB2312"/>
          <w:color w:val="000000"/>
          <w:sz w:val="32"/>
          <w:szCs w:val="32"/>
        </w:rPr>
        <w:t>及时进行资产卡片信息更新，初步实现机关固定资产管理信息化</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机关电子类资产的审批、领用、回库基本实现内控管理信息化。</w:t>
      </w:r>
    </w:p>
    <w:p>
      <w:pPr>
        <w:pStyle w:val="3"/>
        <w:keepNext w:val="0"/>
        <w:keepLines w:val="0"/>
        <w:spacing w:before="0" w:after="0" w:line="560" w:lineRule="exact"/>
        <w:ind w:firstLine="640" w:firstLineChars="200"/>
        <w:rPr>
          <w:rFonts w:ascii="Times New Roman" w:hAnsi="Times New Roman" w:eastAsia="楷体"/>
          <w:b w:val="0"/>
          <w:bCs w:val="0"/>
        </w:rPr>
      </w:pPr>
      <w:bookmarkStart w:id="40" w:name="_Toc15818"/>
      <w:bookmarkStart w:id="41" w:name="_Toc28902"/>
      <w:r>
        <w:rPr>
          <w:rFonts w:ascii="Times New Roman" w:hAnsi="Times New Roman" w:eastAsia="楷体"/>
          <w:b w:val="0"/>
          <w:bCs w:val="0"/>
        </w:rPr>
        <w:t>（三）绩效管理</w:t>
      </w:r>
      <w:bookmarkEnd w:id="40"/>
      <w:bookmarkEnd w:id="41"/>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市经信局</w:t>
      </w:r>
      <w:r>
        <w:rPr>
          <w:rFonts w:ascii="Times New Roman" w:hAnsi="Times New Roman" w:eastAsia="仿宋_GB2312"/>
          <w:color w:val="000000"/>
          <w:sz w:val="32"/>
          <w:szCs w:val="32"/>
        </w:rPr>
        <w:t>高度重视绩效管理工作，将绩效理念深度融入预算编制、执行和监督全过程，构建事前、事中、事后绩效管理闭环系统，创新预算管理方式，扎实做好各项绩效管理工作。</w:t>
      </w:r>
    </w:p>
    <w:p>
      <w:pPr>
        <w:spacing w:line="560" w:lineRule="exact"/>
        <w:ind w:firstLine="642" w:firstLineChars="200"/>
        <w:rPr>
          <w:rFonts w:ascii="Times New Roman" w:hAnsi="Times New Roman" w:eastAsia="仿宋_GB2312"/>
          <w:b/>
          <w:bCs/>
          <w:color w:val="000000"/>
          <w:sz w:val="32"/>
          <w:szCs w:val="32"/>
        </w:rPr>
      </w:pPr>
      <w:r>
        <w:rPr>
          <w:rFonts w:ascii="Times New Roman" w:hAnsi="Times New Roman" w:eastAsia="仿宋_GB2312"/>
          <w:b/>
          <w:bCs/>
          <w:color w:val="000000"/>
          <w:sz w:val="32"/>
          <w:szCs w:val="32"/>
        </w:rPr>
        <w:t>1.深化全过程预算绩效管理</w:t>
      </w:r>
    </w:p>
    <w:p>
      <w:pPr>
        <w:spacing w:line="560" w:lineRule="exact"/>
        <w:ind w:firstLine="642" w:firstLineChars="200"/>
        <w:rPr>
          <w:rFonts w:ascii="Times New Roman" w:hAnsi="Times New Roman" w:eastAsia="仿宋_GB2312"/>
          <w:color w:val="000000"/>
          <w:sz w:val="32"/>
          <w:szCs w:val="32"/>
        </w:rPr>
      </w:pPr>
      <w:r>
        <w:rPr>
          <w:rFonts w:ascii="Times New Roman" w:hAnsi="Times New Roman" w:eastAsia="仿宋_GB2312"/>
          <w:b/>
          <w:bCs/>
          <w:color w:val="000000"/>
          <w:sz w:val="32"/>
          <w:szCs w:val="32"/>
        </w:rPr>
        <w:t>一是</w:t>
      </w:r>
      <w:r>
        <w:rPr>
          <w:rFonts w:ascii="Times New Roman" w:hAnsi="Times New Roman" w:eastAsia="仿宋_GB2312"/>
          <w:color w:val="000000"/>
          <w:sz w:val="32"/>
          <w:szCs w:val="32"/>
        </w:rPr>
        <w:t>主动开展事前绩效评估。在安排</w:t>
      </w:r>
      <w:r>
        <w:rPr>
          <w:rFonts w:hint="eastAsia" w:ascii="Times New Roman" w:hAnsi="Times New Roman" w:eastAsia="仿宋_GB2312"/>
          <w:color w:val="000000"/>
          <w:sz w:val="32"/>
          <w:szCs w:val="32"/>
        </w:rPr>
        <w:t>2025</w:t>
      </w:r>
      <w:r>
        <w:rPr>
          <w:rFonts w:ascii="Times New Roman" w:hAnsi="Times New Roman" w:eastAsia="仿宋_GB2312"/>
          <w:color w:val="000000"/>
          <w:sz w:val="32"/>
          <w:szCs w:val="32"/>
        </w:rPr>
        <w:t>年度预算项目时，严格贯彻新增项目</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应评尽评</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的全覆盖原则，对</w:t>
      </w:r>
      <w:r>
        <w:rPr>
          <w:rFonts w:hint="eastAsia" w:ascii="Times New Roman" w:hAnsi="Times New Roman" w:eastAsia="仿宋_GB2312"/>
          <w:color w:val="000000"/>
          <w:sz w:val="32"/>
          <w:szCs w:val="32"/>
        </w:rPr>
        <w:t>市经信局</w:t>
      </w:r>
      <w:r>
        <w:rPr>
          <w:rFonts w:ascii="Times New Roman" w:hAnsi="Times New Roman" w:eastAsia="仿宋_GB2312"/>
          <w:color w:val="000000"/>
          <w:sz w:val="32"/>
          <w:szCs w:val="32"/>
        </w:rPr>
        <w:t>新一代信息通信网络前沿技术研究及产业培育创新发展相关工作支撑服务</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高精尖产业宏观运行态势与重点板块成效跟踪、未来产业发展监测及促进服务等</w:t>
      </w:r>
      <w:r>
        <w:rPr>
          <w:rFonts w:hint="eastAsia" w:ascii="Times New Roman" w:hAnsi="Times New Roman" w:eastAsia="仿宋_GB2312"/>
          <w:color w:val="000000"/>
          <w:sz w:val="32"/>
          <w:szCs w:val="32"/>
        </w:rPr>
        <w:t>9</w:t>
      </w:r>
      <w:r>
        <w:rPr>
          <w:rFonts w:ascii="Times New Roman" w:hAnsi="Times New Roman" w:eastAsia="仿宋_GB2312"/>
          <w:color w:val="000000"/>
          <w:sz w:val="32"/>
          <w:szCs w:val="32"/>
        </w:rPr>
        <w:t>个项目进行了事前绩效评估。</w:t>
      </w:r>
    </w:p>
    <w:p>
      <w:pPr>
        <w:spacing w:line="560" w:lineRule="exact"/>
        <w:ind w:firstLine="642" w:firstLineChars="200"/>
        <w:rPr>
          <w:rFonts w:ascii="Times New Roman" w:hAnsi="Times New Roman" w:eastAsia="仿宋_GB2312"/>
          <w:color w:val="000000"/>
          <w:sz w:val="32"/>
          <w:szCs w:val="32"/>
        </w:rPr>
      </w:pPr>
      <w:r>
        <w:rPr>
          <w:rFonts w:ascii="Times New Roman" w:hAnsi="Times New Roman" w:eastAsia="仿宋_GB2312"/>
          <w:b/>
          <w:bCs/>
          <w:color w:val="000000"/>
          <w:sz w:val="32"/>
          <w:szCs w:val="32"/>
        </w:rPr>
        <w:t>二是</w:t>
      </w:r>
      <w:r>
        <w:rPr>
          <w:rFonts w:ascii="Times New Roman" w:hAnsi="Times New Roman" w:eastAsia="仿宋_GB2312"/>
          <w:color w:val="000000"/>
          <w:sz w:val="32"/>
          <w:szCs w:val="32"/>
        </w:rPr>
        <w:t>加强绩效目标管理。按照市财政局要求，</w:t>
      </w:r>
      <w:r>
        <w:rPr>
          <w:rFonts w:hint="eastAsia" w:ascii="Times New Roman" w:hAnsi="Times New Roman" w:eastAsia="仿宋_GB2312"/>
          <w:color w:val="000000"/>
          <w:sz w:val="32"/>
          <w:szCs w:val="32"/>
        </w:rPr>
        <w:t>2024年市经信局组织各</w:t>
      </w:r>
      <w:r>
        <w:rPr>
          <w:rFonts w:ascii="Times New Roman" w:hAnsi="Times New Roman" w:eastAsia="仿宋_GB2312"/>
          <w:color w:val="000000"/>
          <w:sz w:val="32"/>
          <w:szCs w:val="32"/>
        </w:rPr>
        <w:t>业务处室</w:t>
      </w:r>
      <w:r>
        <w:rPr>
          <w:rFonts w:hint="eastAsia" w:ascii="Times New Roman" w:hAnsi="Times New Roman" w:eastAsia="仿宋_GB2312"/>
          <w:color w:val="000000"/>
          <w:sz w:val="32"/>
          <w:szCs w:val="32"/>
        </w:rPr>
        <w:t>对全部</w:t>
      </w:r>
      <w:r>
        <w:rPr>
          <w:rFonts w:ascii="Times New Roman" w:hAnsi="Times New Roman" w:eastAsia="仿宋_GB2312"/>
          <w:color w:val="000000"/>
          <w:sz w:val="32"/>
          <w:szCs w:val="32"/>
        </w:rPr>
        <w:t>预算项目</w:t>
      </w:r>
      <w:r>
        <w:rPr>
          <w:rFonts w:hint="eastAsia" w:ascii="Times New Roman" w:hAnsi="Times New Roman" w:eastAsia="仿宋_GB2312"/>
          <w:color w:val="000000"/>
          <w:sz w:val="32"/>
          <w:szCs w:val="32"/>
        </w:rPr>
        <w:t>进行</w:t>
      </w:r>
      <w:r>
        <w:rPr>
          <w:rFonts w:ascii="Times New Roman" w:hAnsi="Times New Roman" w:eastAsia="仿宋_GB2312"/>
          <w:color w:val="000000"/>
          <w:sz w:val="32"/>
          <w:szCs w:val="32"/>
        </w:rPr>
        <w:t>绩效目标</w:t>
      </w:r>
      <w:r>
        <w:rPr>
          <w:rFonts w:hint="eastAsia" w:ascii="Times New Roman" w:hAnsi="Times New Roman" w:eastAsia="仿宋_GB2312"/>
          <w:color w:val="000000"/>
          <w:sz w:val="32"/>
          <w:szCs w:val="32"/>
        </w:rPr>
        <w:t>申报，</w:t>
      </w:r>
      <w:r>
        <w:rPr>
          <w:rFonts w:ascii="Times New Roman" w:hAnsi="Times New Roman" w:eastAsia="仿宋_GB2312"/>
          <w:color w:val="000000"/>
          <w:sz w:val="32"/>
          <w:szCs w:val="32"/>
        </w:rPr>
        <w:t>完成了全局</w:t>
      </w:r>
      <w:r>
        <w:rPr>
          <w:rFonts w:hint="eastAsia" w:ascii="Times New Roman" w:hAnsi="Times New Roman" w:eastAsia="仿宋_GB2312"/>
          <w:color w:val="000000"/>
          <w:sz w:val="32"/>
          <w:szCs w:val="32"/>
        </w:rPr>
        <w:t>178</w:t>
      </w:r>
      <w:r>
        <w:rPr>
          <w:rFonts w:ascii="Times New Roman" w:hAnsi="Times New Roman" w:eastAsia="仿宋_GB2312"/>
          <w:color w:val="000000"/>
          <w:sz w:val="32"/>
          <w:szCs w:val="32"/>
        </w:rPr>
        <w:t>个项目绩效目标申报表的审核及预算一体化管理。</w:t>
      </w:r>
    </w:p>
    <w:p>
      <w:pPr>
        <w:spacing w:line="560" w:lineRule="exact"/>
        <w:ind w:firstLine="642" w:firstLineChars="200"/>
        <w:rPr>
          <w:rFonts w:ascii="Times New Roman" w:hAnsi="Times New Roman" w:eastAsia="仿宋_GB2312"/>
          <w:color w:val="000000"/>
          <w:sz w:val="32"/>
          <w:szCs w:val="32"/>
        </w:rPr>
      </w:pPr>
      <w:r>
        <w:rPr>
          <w:rFonts w:ascii="Times New Roman" w:hAnsi="Times New Roman" w:eastAsia="仿宋_GB2312"/>
          <w:b/>
          <w:bCs/>
          <w:color w:val="000000"/>
          <w:sz w:val="32"/>
          <w:szCs w:val="32"/>
        </w:rPr>
        <w:t>三是</w:t>
      </w:r>
      <w:r>
        <w:rPr>
          <w:rFonts w:ascii="Times New Roman" w:hAnsi="Times New Roman" w:eastAsia="仿宋_GB2312"/>
          <w:color w:val="000000"/>
          <w:sz w:val="32"/>
          <w:szCs w:val="32"/>
        </w:rPr>
        <w:t>开展事中绩效运行监控。对</w:t>
      </w:r>
      <w:r>
        <w:rPr>
          <w:rFonts w:hint="eastAsia" w:ascii="Times New Roman" w:hAnsi="Times New Roman" w:eastAsia="仿宋_GB2312"/>
          <w:color w:val="000000"/>
          <w:sz w:val="32"/>
          <w:szCs w:val="32"/>
        </w:rPr>
        <w:t>2023</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rPr>
        <w:t>202</w:t>
      </w:r>
      <w:r>
        <w:rPr>
          <w:rFonts w:ascii="Times New Roman" w:hAnsi="Times New Roman" w:eastAsia="仿宋_GB2312"/>
          <w:color w:val="000000"/>
          <w:sz w:val="32"/>
          <w:szCs w:val="32"/>
        </w:rPr>
        <w:t>个项目实施了绩效自评，涉及金额577,208.14万元；对</w:t>
      </w:r>
      <w:r>
        <w:rPr>
          <w:rFonts w:hint="eastAsia" w:ascii="Times New Roman" w:hAnsi="Times New Roman" w:eastAsia="仿宋_GB2312"/>
          <w:color w:val="000000"/>
          <w:sz w:val="32"/>
          <w:szCs w:val="32"/>
        </w:rPr>
        <w:t>2024年度167</w:t>
      </w:r>
      <w:r>
        <w:rPr>
          <w:rFonts w:ascii="Times New Roman" w:hAnsi="Times New Roman" w:eastAsia="仿宋_GB2312"/>
          <w:color w:val="000000"/>
          <w:sz w:val="32"/>
          <w:szCs w:val="32"/>
        </w:rPr>
        <w:t>个财政支出项目进行了事中绩效运行监控</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涉及</w:t>
      </w:r>
      <w:r>
        <w:rPr>
          <w:rFonts w:hint="eastAsia" w:ascii="Times New Roman" w:hAnsi="Times New Roman" w:eastAsia="仿宋_GB2312"/>
          <w:color w:val="000000"/>
          <w:sz w:val="32"/>
          <w:szCs w:val="32"/>
        </w:rPr>
        <w:t>金额</w:t>
      </w:r>
      <w:r>
        <w:rPr>
          <w:rFonts w:ascii="Times New Roman" w:hAnsi="Times New Roman" w:eastAsia="仿宋_GB2312"/>
          <w:color w:val="000000"/>
          <w:sz w:val="32"/>
          <w:szCs w:val="32"/>
        </w:rPr>
        <w:t>346,941.52万元。</w:t>
      </w:r>
    </w:p>
    <w:p>
      <w:pPr>
        <w:spacing w:line="560" w:lineRule="exact"/>
        <w:ind w:firstLine="642" w:firstLineChars="200"/>
        <w:rPr>
          <w:rFonts w:ascii="Times New Roman" w:hAnsi="Times New Roman" w:eastAsia="仿宋_GB2312"/>
          <w:b/>
          <w:bCs/>
          <w:color w:val="000000"/>
          <w:sz w:val="32"/>
          <w:szCs w:val="32"/>
        </w:rPr>
      </w:pPr>
      <w:r>
        <w:rPr>
          <w:rFonts w:ascii="Times New Roman" w:hAnsi="Times New Roman" w:eastAsia="仿宋_GB2312"/>
          <w:b/>
          <w:bCs/>
          <w:color w:val="000000"/>
          <w:sz w:val="32"/>
          <w:szCs w:val="32"/>
        </w:rPr>
        <w:t>2.开展成本预算绩效分析</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2024年</w:t>
      </w:r>
      <w:r>
        <w:rPr>
          <w:rFonts w:ascii="Times New Roman" w:hAnsi="Times New Roman" w:eastAsia="仿宋_GB2312"/>
          <w:color w:val="000000"/>
          <w:sz w:val="32"/>
          <w:szCs w:val="32"/>
        </w:rPr>
        <w:t>对</w:t>
      </w:r>
      <w:r>
        <w:rPr>
          <w:rFonts w:hint="eastAsia" w:ascii="Times New Roman" w:hAnsi="Times New Roman" w:eastAsia="仿宋_GB2312"/>
          <w:color w:val="000000"/>
          <w:sz w:val="32"/>
          <w:szCs w:val="32"/>
        </w:rPr>
        <w:t>“组织实施全球数字经济大会”</w:t>
      </w:r>
      <w:r>
        <w:rPr>
          <w:rFonts w:ascii="Times New Roman" w:hAnsi="Times New Roman" w:eastAsia="仿宋_GB2312"/>
          <w:color w:val="000000"/>
          <w:sz w:val="32"/>
          <w:szCs w:val="32"/>
        </w:rPr>
        <w:t>项目开展成本预算绩效分析</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制定成本核查机制合理控制成本，压缩预算金额47.60万元，压减幅度达6.14%；对项目组织安排、责任分工、实施过程监督管理提出相关建议，进一步提高了项目管理效率和实施效益。本项目在市财政局组织的全市成本绩效项目评审中综合排名第二，获选优秀案例。</w:t>
      </w:r>
    </w:p>
    <w:p>
      <w:pPr>
        <w:pStyle w:val="3"/>
        <w:keepNext w:val="0"/>
        <w:keepLines w:val="0"/>
        <w:spacing w:before="0" w:after="0" w:line="560" w:lineRule="exact"/>
        <w:ind w:firstLine="640" w:firstLineChars="200"/>
        <w:rPr>
          <w:rFonts w:ascii="Times New Roman" w:hAnsi="Times New Roman" w:eastAsia="楷体"/>
          <w:b w:val="0"/>
          <w:bCs w:val="0"/>
        </w:rPr>
      </w:pPr>
      <w:bookmarkStart w:id="42" w:name="_Toc30532"/>
      <w:bookmarkStart w:id="43" w:name="_Toc28989"/>
      <w:r>
        <w:rPr>
          <w:rFonts w:ascii="Times New Roman" w:hAnsi="Times New Roman" w:eastAsia="楷体"/>
          <w:b w:val="0"/>
          <w:bCs w:val="0"/>
        </w:rPr>
        <w:t>（四）结转结余率</w:t>
      </w:r>
      <w:bookmarkEnd w:id="42"/>
      <w:bookmarkEnd w:id="43"/>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2024年，市经信局年末结转结余资金69,065.31万元，其中基本支出结转5,964.30万元，项目支出结转和结余63,101.01万元。</w:t>
      </w:r>
      <w:r>
        <w:rPr>
          <w:rFonts w:hint="eastAsia" w:ascii="仿宋_GB2312" w:hAnsi="仿宋" w:eastAsia="仿宋_GB2312" w:cs="仿宋"/>
          <w:bCs/>
          <w:sz w:val="32"/>
          <w:szCs w:val="32"/>
        </w:rPr>
        <w:t>全年调整预算数为</w:t>
      </w:r>
      <w:r>
        <w:rPr>
          <w:rFonts w:hint="eastAsia" w:ascii="Times New Roman" w:hAnsi="Times New Roman" w:eastAsia="仿宋_GB2312"/>
          <w:color w:val="000000"/>
          <w:sz w:val="32"/>
          <w:szCs w:val="32"/>
        </w:rPr>
        <w:t>701,192.84</w:t>
      </w:r>
      <w:r>
        <w:rPr>
          <w:rFonts w:hint="eastAsia" w:ascii="仿宋_GB2312" w:hAnsi="仿宋" w:eastAsia="仿宋_GB2312" w:cs="仿宋"/>
          <w:bCs/>
          <w:sz w:val="32"/>
          <w:szCs w:val="32"/>
        </w:rPr>
        <w:t>万元，资金结转结余率</w:t>
      </w:r>
      <w:r>
        <w:rPr>
          <w:rStyle w:val="31"/>
          <w:rFonts w:hint="eastAsia" w:ascii="仿宋_GB2312" w:hAnsi="仿宋" w:eastAsia="仿宋_GB2312" w:cs="仿宋"/>
          <w:bCs/>
          <w:sz w:val="32"/>
          <w:szCs w:val="32"/>
        </w:rPr>
        <w:footnoteReference w:id="0"/>
      </w:r>
      <w:r>
        <w:rPr>
          <w:rFonts w:hint="eastAsia" w:ascii="仿宋_GB2312" w:hAnsi="仿宋" w:eastAsia="仿宋_GB2312" w:cs="仿宋"/>
          <w:bCs/>
          <w:sz w:val="32"/>
          <w:szCs w:val="32"/>
        </w:rPr>
        <w:t>为</w:t>
      </w:r>
      <w:r>
        <w:rPr>
          <w:rFonts w:hint="eastAsia" w:ascii="Times New Roman" w:hAnsi="Times New Roman" w:eastAsia="仿宋_GB2312"/>
          <w:color w:val="000000"/>
          <w:sz w:val="32"/>
          <w:szCs w:val="32"/>
        </w:rPr>
        <w:t>9.85%，相较上一年度上升了4.17%。</w:t>
      </w:r>
    </w:p>
    <w:p>
      <w:pPr>
        <w:spacing w:line="560" w:lineRule="exact"/>
        <w:ind w:firstLine="640" w:firstLineChars="200"/>
      </w:pPr>
      <w:r>
        <w:rPr>
          <w:rFonts w:hint="eastAsia" w:ascii="Times New Roman" w:hAnsi="Times New Roman" w:eastAsia="仿宋_GB2312"/>
          <w:color w:val="000000"/>
          <w:sz w:val="32"/>
          <w:szCs w:val="32"/>
        </w:rPr>
        <w:t>主要原因</w:t>
      </w:r>
      <w:r>
        <w:rPr>
          <w:rFonts w:hint="eastAsia" w:ascii="仿宋_GB2312" w:hAnsi="仿宋" w:eastAsia="仿宋_GB2312" w:cs="仿宋"/>
          <w:bCs/>
          <w:sz w:val="32"/>
          <w:szCs w:val="32"/>
        </w:rPr>
        <w:t>是高精尖产业及中小企业发展资金、中央转移支付等项目资金均为年中追加安排，额度到账时间较晚，难以在当年形成实际支出，按政策要求可以结转至下年度使用，因此形成了较高的项目支出结转结余。</w:t>
      </w:r>
    </w:p>
    <w:p>
      <w:pPr>
        <w:pStyle w:val="3"/>
        <w:keepNext w:val="0"/>
        <w:keepLines w:val="0"/>
        <w:spacing w:before="0" w:after="0" w:line="560" w:lineRule="exact"/>
        <w:ind w:firstLine="640" w:firstLineChars="200"/>
        <w:rPr>
          <w:rFonts w:ascii="Times New Roman" w:hAnsi="Times New Roman" w:eastAsia="楷体"/>
          <w:b w:val="0"/>
          <w:bCs w:val="0"/>
        </w:rPr>
      </w:pPr>
      <w:bookmarkStart w:id="44" w:name="_Toc22175"/>
      <w:bookmarkStart w:id="45" w:name="_Toc673"/>
      <w:r>
        <w:rPr>
          <w:rFonts w:ascii="Times New Roman" w:hAnsi="Times New Roman" w:eastAsia="楷体"/>
          <w:b w:val="0"/>
          <w:bCs w:val="0"/>
        </w:rPr>
        <w:t>（五）部门预决算差异</w:t>
      </w:r>
      <w:bookmarkEnd w:id="44"/>
      <w:bookmarkEnd w:id="45"/>
      <w:r>
        <w:rPr>
          <w:rFonts w:hint="eastAsia" w:ascii="Times New Roman" w:hAnsi="Times New Roman" w:eastAsia="楷体"/>
          <w:b w:val="0"/>
          <w:bCs w:val="0"/>
        </w:rPr>
        <w:t>率</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color w:val="000000"/>
          <w:sz w:val="32"/>
          <w:szCs w:val="32"/>
        </w:rPr>
        <w:t>2024年，市经信局</w:t>
      </w:r>
      <w:r>
        <w:rPr>
          <w:rFonts w:ascii="Times New Roman" w:hAnsi="Times New Roman" w:eastAsia="仿宋_GB2312"/>
          <w:sz w:val="32"/>
          <w:szCs w:val="32"/>
        </w:rPr>
        <w:t>年初预算</w:t>
      </w:r>
      <w:r>
        <w:rPr>
          <w:rFonts w:hint="eastAsia" w:ascii="Times New Roman" w:hAnsi="Times New Roman" w:eastAsia="仿宋_GB2312"/>
          <w:sz w:val="32"/>
          <w:szCs w:val="32"/>
        </w:rPr>
        <w:t>数466,455.70</w:t>
      </w:r>
      <w:r>
        <w:rPr>
          <w:rFonts w:ascii="Times New Roman" w:hAnsi="Times New Roman" w:eastAsia="仿宋_GB2312"/>
          <w:sz w:val="32"/>
          <w:szCs w:val="32"/>
        </w:rPr>
        <w:t>万元，</w:t>
      </w:r>
      <w:r>
        <w:rPr>
          <w:rFonts w:hint="eastAsia" w:ascii="Times New Roman" w:hAnsi="Times New Roman" w:eastAsia="仿宋_GB2312"/>
          <w:color w:val="000000"/>
          <w:sz w:val="32"/>
          <w:szCs w:val="32"/>
        </w:rPr>
        <w:t>年</w:t>
      </w:r>
      <w:r>
        <w:rPr>
          <w:rFonts w:ascii="Times New Roman" w:hAnsi="Times New Roman" w:eastAsia="仿宋_GB2312"/>
          <w:sz w:val="32"/>
          <w:szCs w:val="32"/>
        </w:rPr>
        <w:t>末决算</w:t>
      </w:r>
      <w:r>
        <w:rPr>
          <w:rFonts w:hint="eastAsia" w:ascii="Times New Roman" w:hAnsi="Times New Roman" w:eastAsia="仿宋_GB2312"/>
          <w:sz w:val="32"/>
          <w:szCs w:val="32"/>
        </w:rPr>
        <w:t>数632,127.53</w:t>
      </w:r>
      <w:r>
        <w:rPr>
          <w:rFonts w:ascii="Times New Roman" w:hAnsi="Times New Roman" w:eastAsia="仿宋_GB2312"/>
          <w:sz w:val="32"/>
          <w:szCs w:val="32"/>
        </w:rPr>
        <w:t>万元，部门预决算差异率</w:t>
      </w:r>
      <w:r>
        <w:rPr>
          <w:rStyle w:val="31"/>
          <w:rFonts w:ascii="Times New Roman" w:hAnsi="Times New Roman" w:eastAsia="仿宋_GB2312"/>
          <w:sz w:val="32"/>
          <w:szCs w:val="32"/>
        </w:rPr>
        <w:footnoteReference w:id="1"/>
      </w:r>
      <w:r>
        <w:rPr>
          <w:rFonts w:ascii="Times New Roman" w:hAnsi="Times New Roman" w:eastAsia="仿宋_GB2312"/>
          <w:sz w:val="32"/>
          <w:szCs w:val="32"/>
        </w:rPr>
        <w:t>为35.52%</w:t>
      </w:r>
      <w:r>
        <w:rPr>
          <w:rFonts w:hint="eastAsia" w:ascii="Times New Roman" w:hAnsi="Times New Roman" w:eastAsia="仿宋_GB2312"/>
          <w:sz w:val="32"/>
          <w:szCs w:val="32"/>
        </w:rPr>
        <w:t>，相较2023年的42.64%有所收窄，差异率控制情况向好。</w:t>
      </w:r>
    </w:p>
    <w:p>
      <w:pPr>
        <w:pStyle w:val="2"/>
        <w:keepNext w:val="0"/>
        <w:keepLines w:val="0"/>
        <w:spacing w:before="0" w:after="0" w:line="560" w:lineRule="exact"/>
        <w:ind w:firstLine="640" w:firstLineChars="200"/>
        <w:rPr>
          <w:rFonts w:hint="eastAsia" w:ascii="黑体" w:hAnsi="黑体" w:eastAsia="黑体"/>
          <w:b w:val="0"/>
          <w:bCs w:val="0"/>
          <w:sz w:val="32"/>
          <w:szCs w:val="32"/>
        </w:rPr>
      </w:pPr>
      <w:bookmarkStart w:id="46" w:name="_Toc30237"/>
      <w:bookmarkStart w:id="47" w:name="_Toc243"/>
      <w:r>
        <w:rPr>
          <w:rFonts w:hint="eastAsia" w:ascii="黑体" w:hAnsi="黑体" w:eastAsia="黑体"/>
          <w:b w:val="0"/>
          <w:bCs w:val="0"/>
          <w:sz w:val="32"/>
          <w:szCs w:val="32"/>
        </w:rPr>
        <w:t>五、总体评价结论</w:t>
      </w:r>
      <w:bookmarkEnd w:id="46"/>
      <w:bookmarkEnd w:id="47"/>
    </w:p>
    <w:p>
      <w:pPr>
        <w:spacing w:line="560" w:lineRule="exact"/>
        <w:ind w:firstLine="640" w:firstLineChars="200"/>
        <w:outlineLvl w:val="2"/>
        <w:rPr>
          <w:rFonts w:ascii="Times New Roman" w:hAnsi="Times New Roman" w:eastAsia="楷体"/>
          <w:sz w:val="32"/>
          <w:szCs w:val="32"/>
        </w:rPr>
      </w:pPr>
      <w:r>
        <w:rPr>
          <w:rFonts w:ascii="Times New Roman" w:hAnsi="Times New Roman" w:eastAsia="楷体"/>
          <w:sz w:val="32"/>
          <w:szCs w:val="32"/>
        </w:rPr>
        <w:t>（一）评价得分情况</w:t>
      </w:r>
    </w:p>
    <w:p>
      <w:pPr>
        <w:spacing w:line="560" w:lineRule="exact"/>
        <w:ind w:firstLine="640" w:firstLineChars="200"/>
        <w:rPr>
          <w:rFonts w:ascii="Times New Roman" w:hAnsi="Times New Roman" w:eastAsia="仿宋_GB2312"/>
          <w:sz w:val="32"/>
          <w:szCs w:val="32"/>
          <w:highlight w:val="green"/>
        </w:rPr>
      </w:pPr>
      <w:r>
        <w:rPr>
          <w:rFonts w:ascii="Times New Roman" w:hAnsi="Times New Roman" w:eastAsia="仿宋_GB2312"/>
          <w:sz w:val="32"/>
          <w:szCs w:val="32"/>
        </w:rPr>
        <w:t>本次部门整体绩效评价通过资料分析、指标评议等方式开展了全面、系统、</w:t>
      </w:r>
      <w:r>
        <w:rPr>
          <w:rFonts w:hint="eastAsia" w:ascii="Times New Roman" w:hAnsi="Times New Roman" w:eastAsia="仿宋_GB2312"/>
          <w:sz w:val="32"/>
          <w:szCs w:val="32"/>
        </w:rPr>
        <w:t>客观地分析</w:t>
      </w:r>
      <w:r>
        <w:rPr>
          <w:rFonts w:ascii="Times New Roman" w:hAnsi="Times New Roman" w:eastAsia="仿宋_GB2312"/>
          <w:sz w:val="32"/>
          <w:szCs w:val="32"/>
        </w:rPr>
        <w:t>评价，最终得分为96.03分，综合评价等级为</w:t>
      </w:r>
      <w:r>
        <w:rPr>
          <w:rFonts w:hint="eastAsia" w:ascii="Times New Roman" w:hAnsi="Times New Roman" w:eastAsia="仿宋_GB2312"/>
          <w:sz w:val="32"/>
          <w:szCs w:val="32"/>
        </w:rPr>
        <w:t>“</w:t>
      </w:r>
      <w:r>
        <w:rPr>
          <w:rFonts w:ascii="Times New Roman" w:hAnsi="Times New Roman" w:eastAsia="仿宋_GB2312"/>
          <w:sz w:val="32"/>
          <w:szCs w:val="32"/>
        </w:rPr>
        <w:t>优</w:t>
      </w:r>
      <w:r>
        <w:rPr>
          <w:rFonts w:hint="eastAsia" w:ascii="Times New Roman" w:hAnsi="Times New Roman" w:eastAsia="仿宋_GB2312"/>
          <w:sz w:val="32"/>
          <w:szCs w:val="32"/>
        </w:rPr>
        <w:t>”</w:t>
      </w:r>
      <w:r>
        <w:rPr>
          <w:rFonts w:ascii="Times New Roman" w:hAnsi="Times New Roman" w:eastAsia="仿宋_GB2312"/>
          <w:sz w:val="32"/>
          <w:szCs w:val="32"/>
        </w:rPr>
        <w:t>。其中：当年预算执行情况</w:t>
      </w:r>
      <w:r>
        <w:rPr>
          <w:rFonts w:hint="eastAsia" w:ascii="Times New Roman" w:hAnsi="Times New Roman" w:eastAsia="仿宋_GB2312"/>
          <w:sz w:val="32"/>
          <w:szCs w:val="32"/>
        </w:rPr>
        <w:t>18.03</w:t>
      </w:r>
      <w:r>
        <w:rPr>
          <w:rFonts w:ascii="Times New Roman" w:hAnsi="Times New Roman" w:eastAsia="仿宋_GB2312"/>
          <w:sz w:val="32"/>
          <w:szCs w:val="32"/>
        </w:rPr>
        <w:t>分，</w:t>
      </w:r>
      <w:r>
        <w:rPr>
          <w:rFonts w:hint="eastAsia" w:ascii="Times New Roman" w:hAnsi="Times New Roman" w:eastAsia="仿宋_GB2312"/>
          <w:sz w:val="32"/>
          <w:szCs w:val="32"/>
        </w:rPr>
        <w:t>得分率90.15%；</w:t>
      </w:r>
      <w:r>
        <w:rPr>
          <w:rFonts w:ascii="Times New Roman" w:hAnsi="Times New Roman" w:eastAsia="仿宋_GB2312"/>
          <w:sz w:val="32"/>
          <w:szCs w:val="32"/>
        </w:rPr>
        <w:t>整体绩效目标实际情况</w:t>
      </w:r>
      <w:r>
        <w:rPr>
          <w:rFonts w:hint="eastAsia" w:ascii="Times New Roman" w:hAnsi="Times New Roman" w:eastAsia="仿宋_GB2312"/>
          <w:sz w:val="32"/>
          <w:szCs w:val="32"/>
        </w:rPr>
        <w:t>60</w:t>
      </w:r>
      <w:r>
        <w:rPr>
          <w:rFonts w:ascii="Times New Roman" w:hAnsi="Times New Roman" w:eastAsia="仿宋_GB2312"/>
          <w:sz w:val="32"/>
          <w:szCs w:val="32"/>
        </w:rPr>
        <w:t>分，</w:t>
      </w:r>
      <w:r>
        <w:rPr>
          <w:rFonts w:hint="eastAsia" w:ascii="Times New Roman" w:hAnsi="Times New Roman" w:eastAsia="仿宋_GB2312"/>
          <w:sz w:val="32"/>
          <w:szCs w:val="32"/>
        </w:rPr>
        <w:t>得分率100%；</w:t>
      </w:r>
      <w:r>
        <w:rPr>
          <w:rFonts w:ascii="Times New Roman" w:hAnsi="Times New Roman" w:eastAsia="仿宋_GB2312"/>
          <w:sz w:val="32"/>
          <w:szCs w:val="32"/>
        </w:rPr>
        <w:t>预算管理情况</w:t>
      </w:r>
      <w:r>
        <w:rPr>
          <w:rFonts w:hint="eastAsia" w:ascii="Times New Roman" w:hAnsi="Times New Roman" w:eastAsia="仿宋_GB2312"/>
          <w:sz w:val="32"/>
          <w:szCs w:val="32"/>
        </w:rPr>
        <w:t>18</w:t>
      </w:r>
      <w:r>
        <w:rPr>
          <w:rFonts w:ascii="Times New Roman" w:hAnsi="Times New Roman" w:eastAsia="仿宋_GB2312"/>
          <w:sz w:val="32"/>
          <w:szCs w:val="32"/>
        </w:rPr>
        <w:t>分，</w:t>
      </w:r>
      <w:r>
        <w:rPr>
          <w:rFonts w:hint="eastAsia" w:ascii="Times New Roman" w:hAnsi="Times New Roman" w:eastAsia="仿宋_GB2312"/>
          <w:sz w:val="32"/>
          <w:szCs w:val="32"/>
        </w:rPr>
        <w:t>得分率90%。</w:t>
      </w:r>
      <w:r>
        <w:rPr>
          <w:rFonts w:ascii="Times New Roman" w:hAnsi="Times New Roman" w:eastAsia="仿宋_GB2312"/>
          <w:sz w:val="32"/>
          <w:szCs w:val="32"/>
        </w:rPr>
        <w:t>具体评分见《北京市经济和信息化局</w:t>
      </w:r>
      <w:r>
        <w:rPr>
          <w:rFonts w:hint="eastAsia" w:ascii="Times New Roman" w:hAnsi="Times New Roman" w:eastAsia="仿宋_GB2312"/>
          <w:sz w:val="32"/>
          <w:szCs w:val="32"/>
        </w:rPr>
        <w:t>2024年</w:t>
      </w:r>
      <w:r>
        <w:rPr>
          <w:rFonts w:ascii="Times New Roman" w:hAnsi="Times New Roman" w:eastAsia="仿宋_GB2312"/>
          <w:sz w:val="32"/>
          <w:szCs w:val="32"/>
        </w:rPr>
        <w:t>度部门整体绩效评价指标体系评分表》。</w:t>
      </w:r>
    </w:p>
    <w:p>
      <w:pPr>
        <w:spacing w:line="560" w:lineRule="exact"/>
        <w:ind w:firstLine="640" w:firstLineChars="200"/>
        <w:outlineLvl w:val="2"/>
        <w:rPr>
          <w:rFonts w:ascii="Times New Roman" w:hAnsi="Times New Roman" w:eastAsia="楷体"/>
          <w:sz w:val="32"/>
          <w:szCs w:val="32"/>
        </w:rPr>
      </w:pPr>
      <w:r>
        <w:rPr>
          <w:rFonts w:ascii="Times New Roman" w:hAnsi="Times New Roman" w:eastAsia="楷体"/>
          <w:sz w:val="32"/>
          <w:szCs w:val="32"/>
        </w:rPr>
        <w:t>（二）存在的问题及原因分析</w:t>
      </w:r>
    </w:p>
    <w:p>
      <w:pPr>
        <w:numPr>
          <w:ilvl w:val="255"/>
          <w:numId w:val="0"/>
        </w:numPr>
        <w:spacing w:line="560" w:lineRule="exact"/>
        <w:ind w:left="420" w:leftChars="200" w:firstLine="642" w:firstLineChars="200"/>
        <w:rPr>
          <w:rFonts w:ascii="Times New Roman" w:hAnsi="Times New Roman" w:eastAsia="仿宋_GB2312"/>
          <w:kern w:val="0"/>
          <w:sz w:val="32"/>
          <w:szCs w:val="32"/>
        </w:rPr>
      </w:pPr>
      <w:r>
        <w:rPr>
          <w:rFonts w:ascii="Times New Roman" w:hAnsi="Times New Roman" w:eastAsia="仿宋_GB2312"/>
          <w:b/>
          <w:bCs/>
          <w:kern w:val="0"/>
          <w:sz w:val="32"/>
          <w:szCs w:val="32"/>
        </w:rPr>
        <w:t>1.绩效目标设定灵活性不足，缺乏动态调整</w:t>
      </w:r>
    </w:p>
    <w:p>
      <w:pPr>
        <w:spacing w:line="560" w:lineRule="exact"/>
        <w:ind w:firstLine="642" w:firstLineChars="200"/>
        <w:rPr>
          <w:rFonts w:ascii="Times New Roman" w:hAnsi="Times New Roman" w:eastAsia="仿宋_GB2312"/>
          <w:kern w:val="0"/>
          <w:sz w:val="32"/>
          <w:szCs w:val="32"/>
        </w:rPr>
      </w:pPr>
      <w:r>
        <w:rPr>
          <w:rFonts w:ascii="Times New Roman" w:hAnsi="Times New Roman" w:eastAsia="仿宋_GB2312"/>
          <w:b/>
          <w:bCs/>
          <w:kern w:val="0"/>
          <w:sz w:val="32"/>
          <w:szCs w:val="32"/>
        </w:rPr>
        <w:t>一是</w:t>
      </w:r>
      <w:r>
        <w:rPr>
          <w:rFonts w:ascii="Times New Roman" w:hAnsi="Times New Roman" w:eastAsia="仿宋_GB2312"/>
          <w:kern w:val="0"/>
          <w:sz w:val="32"/>
          <w:szCs w:val="32"/>
        </w:rPr>
        <w:t>项目年度工作量受外部因素影响较大，指标值设为固定数量难以准确匹配实际需求，如纪检专项工作经费项目需应对举报线索的突发性，硬性设定</w:t>
      </w:r>
      <w:r>
        <w:rPr>
          <w:rFonts w:hint="eastAsia" w:ascii="Times New Roman" w:hAnsi="Times New Roman" w:eastAsia="仿宋_GB2312"/>
          <w:kern w:val="0"/>
          <w:sz w:val="32"/>
          <w:szCs w:val="32"/>
        </w:rPr>
        <w:t>“</w:t>
      </w:r>
      <w:r>
        <w:rPr>
          <w:rFonts w:ascii="Times New Roman" w:hAnsi="Times New Roman" w:eastAsia="仿宋_GB2312"/>
          <w:kern w:val="0"/>
          <w:sz w:val="32"/>
          <w:szCs w:val="32"/>
        </w:rPr>
        <w:t>初步核实问题线索件数</w:t>
      </w:r>
      <w:r>
        <w:rPr>
          <w:rFonts w:hint="eastAsia" w:ascii="Times New Roman" w:hAnsi="Times New Roman" w:eastAsia="仿宋_GB2312"/>
          <w:kern w:val="0"/>
          <w:sz w:val="32"/>
          <w:szCs w:val="32"/>
        </w:rPr>
        <w:t>”</w:t>
      </w:r>
      <w:r>
        <w:rPr>
          <w:rFonts w:ascii="Times New Roman" w:hAnsi="Times New Roman" w:eastAsia="仿宋_GB2312"/>
          <w:kern w:val="0"/>
          <w:sz w:val="32"/>
          <w:szCs w:val="32"/>
        </w:rPr>
        <w:t>指标，易导致</w:t>
      </w:r>
      <w:r>
        <w:rPr>
          <w:rFonts w:hint="eastAsia" w:ascii="Times New Roman" w:hAnsi="Times New Roman" w:eastAsia="仿宋_GB2312"/>
          <w:kern w:val="0"/>
          <w:sz w:val="32"/>
          <w:szCs w:val="32"/>
        </w:rPr>
        <w:t>“</w:t>
      </w:r>
      <w:r>
        <w:rPr>
          <w:rFonts w:ascii="Times New Roman" w:hAnsi="Times New Roman" w:eastAsia="仿宋_GB2312"/>
          <w:kern w:val="0"/>
          <w:sz w:val="32"/>
          <w:szCs w:val="32"/>
        </w:rPr>
        <w:t>重数量轻质量</w:t>
      </w:r>
      <w:r>
        <w:rPr>
          <w:rFonts w:hint="eastAsia" w:ascii="Times New Roman" w:hAnsi="Times New Roman" w:eastAsia="仿宋_GB2312"/>
          <w:kern w:val="0"/>
          <w:sz w:val="32"/>
          <w:szCs w:val="32"/>
        </w:rPr>
        <w:t>”</w:t>
      </w:r>
      <w:r>
        <w:rPr>
          <w:rFonts w:ascii="Times New Roman" w:hAnsi="Times New Roman" w:eastAsia="仿宋_GB2312"/>
          <w:kern w:val="0"/>
          <w:sz w:val="32"/>
          <w:szCs w:val="32"/>
        </w:rPr>
        <w:t>或</w:t>
      </w:r>
      <w:r>
        <w:rPr>
          <w:rFonts w:hint="eastAsia" w:ascii="Times New Roman" w:hAnsi="Times New Roman" w:eastAsia="仿宋_GB2312"/>
          <w:kern w:val="0"/>
          <w:sz w:val="32"/>
          <w:szCs w:val="32"/>
        </w:rPr>
        <w:t>“</w:t>
      </w:r>
      <w:r>
        <w:rPr>
          <w:rFonts w:ascii="Times New Roman" w:hAnsi="Times New Roman" w:eastAsia="仿宋_GB2312"/>
          <w:kern w:val="0"/>
          <w:sz w:val="32"/>
          <w:szCs w:val="32"/>
        </w:rPr>
        <w:t>任务超量无考核</w:t>
      </w:r>
      <w:r>
        <w:rPr>
          <w:rFonts w:hint="eastAsia" w:ascii="Times New Roman" w:hAnsi="Times New Roman" w:eastAsia="仿宋_GB2312"/>
          <w:kern w:val="0"/>
          <w:sz w:val="32"/>
          <w:szCs w:val="32"/>
        </w:rPr>
        <w:t>”</w:t>
      </w:r>
      <w:r>
        <w:rPr>
          <w:rFonts w:ascii="Times New Roman" w:hAnsi="Times New Roman" w:eastAsia="仿宋_GB2312"/>
          <w:kern w:val="0"/>
          <w:sz w:val="32"/>
          <w:szCs w:val="32"/>
        </w:rPr>
        <w:t>等矛盾，影响绩效评价客观性。</w:t>
      </w:r>
      <w:r>
        <w:rPr>
          <w:rFonts w:ascii="Times New Roman" w:hAnsi="Times New Roman" w:eastAsia="仿宋_GB2312"/>
          <w:b/>
          <w:bCs/>
          <w:kern w:val="0"/>
          <w:sz w:val="32"/>
          <w:szCs w:val="32"/>
        </w:rPr>
        <w:t>二是</w:t>
      </w:r>
      <w:r>
        <w:rPr>
          <w:rFonts w:ascii="Times New Roman" w:hAnsi="Times New Roman" w:eastAsia="仿宋_GB2312"/>
          <w:kern w:val="0"/>
          <w:sz w:val="32"/>
          <w:szCs w:val="32"/>
        </w:rPr>
        <w:t>项目复杂度高或因上级考核动态变化，年初设定的目标难以匹配实际工作进展，如</w:t>
      </w:r>
      <w:r>
        <w:rPr>
          <w:rFonts w:hint="eastAsia" w:ascii="Times New Roman" w:hAnsi="Times New Roman" w:eastAsia="仿宋_GB2312"/>
          <w:kern w:val="0"/>
          <w:sz w:val="32"/>
          <w:szCs w:val="32"/>
        </w:rPr>
        <w:t>市经信局</w:t>
      </w:r>
      <w:r>
        <w:rPr>
          <w:rFonts w:ascii="Times New Roman" w:hAnsi="Times New Roman" w:eastAsia="仿宋_GB2312"/>
          <w:kern w:val="0"/>
          <w:sz w:val="32"/>
          <w:szCs w:val="32"/>
        </w:rPr>
        <w:t>按照工信部和全市有关工作部署，开展制造业、软信业和安全应急产业走访10次，远超安全生产与应急管理技术支撑项目设定的3次。</w:t>
      </w:r>
    </w:p>
    <w:p>
      <w:pPr>
        <w:spacing w:line="560" w:lineRule="exact"/>
        <w:ind w:firstLine="642" w:firstLineChars="200"/>
        <w:rPr>
          <w:rFonts w:ascii="Times New Roman" w:hAnsi="Times New Roman" w:eastAsia="仿宋_GB2312"/>
          <w:b/>
          <w:bCs/>
          <w:kern w:val="0"/>
          <w:sz w:val="32"/>
          <w:szCs w:val="32"/>
        </w:rPr>
      </w:pPr>
      <w:r>
        <w:rPr>
          <w:rFonts w:ascii="Times New Roman" w:hAnsi="Times New Roman" w:eastAsia="仿宋_GB2312"/>
          <w:b/>
          <w:bCs/>
          <w:kern w:val="0"/>
          <w:sz w:val="32"/>
          <w:szCs w:val="32"/>
        </w:rPr>
        <w:t>2.部分项目效益归集不充分</w:t>
      </w:r>
      <w:r>
        <w:rPr>
          <w:rFonts w:hint="eastAsia" w:ascii="Times New Roman" w:hAnsi="Times New Roman" w:eastAsia="仿宋_GB2312"/>
          <w:b/>
          <w:bCs/>
          <w:kern w:val="0"/>
          <w:sz w:val="32"/>
          <w:szCs w:val="32"/>
        </w:rPr>
        <w:t>，</w:t>
      </w:r>
      <w:r>
        <w:rPr>
          <w:rFonts w:ascii="Times New Roman" w:hAnsi="Times New Roman" w:eastAsia="仿宋_GB2312"/>
          <w:b/>
          <w:bCs/>
          <w:kern w:val="0"/>
          <w:sz w:val="32"/>
          <w:szCs w:val="32"/>
        </w:rPr>
        <w:t>绩效管理存在短板</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sz w:val="32"/>
          <w:szCs w:val="32"/>
        </w:rPr>
        <w:t>部分</w:t>
      </w:r>
      <w:r>
        <w:rPr>
          <w:rFonts w:ascii="Times New Roman" w:hAnsi="Times New Roman" w:eastAsia="仿宋_GB2312"/>
          <w:sz w:val="32"/>
          <w:szCs w:val="32"/>
        </w:rPr>
        <w:t>项目绩效信息体现不够充分</w:t>
      </w:r>
      <w:r>
        <w:rPr>
          <w:rFonts w:hint="eastAsia" w:ascii="Times New Roman" w:hAnsi="Times New Roman" w:eastAsia="仿宋_GB2312"/>
          <w:sz w:val="32"/>
          <w:szCs w:val="32"/>
        </w:rPr>
        <w:t>，</w:t>
      </w:r>
      <w:r>
        <w:rPr>
          <w:rFonts w:ascii="Times New Roman" w:hAnsi="Times New Roman" w:eastAsia="仿宋_GB2312"/>
          <w:b/>
          <w:bCs/>
          <w:sz w:val="32"/>
          <w:szCs w:val="32"/>
        </w:rPr>
        <w:t>一是</w:t>
      </w:r>
      <w:r>
        <w:rPr>
          <w:rFonts w:ascii="Times New Roman" w:hAnsi="Times New Roman" w:eastAsia="仿宋_GB2312"/>
          <w:sz w:val="32"/>
          <w:szCs w:val="32"/>
        </w:rPr>
        <w:t>绩效指标完成情况缺乏过程材料支撑，透明度和可追溯性不足；</w:t>
      </w:r>
      <w:r>
        <w:rPr>
          <w:rFonts w:ascii="Times New Roman" w:hAnsi="Times New Roman" w:eastAsia="仿宋_GB2312"/>
          <w:b/>
          <w:bCs/>
          <w:sz w:val="32"/>
          <w:szCs w:val="32"/>
        </w:rPr>
        <w:t>二是</w:t>
      </w:r>
      <w:r>
        <w:rPr>
          <w:rFonts w:ascii="Times New Roman" w:hAnsi="Times New Roman" w:eastAsia="仿宋_GB2312"/>
          <w:sz w:val="32"/>
          <w:szCs w:val="32"/>
        </w:rPr>
        <w:t>成果分析停留在表面汇总，缺少深度对比及效益挖掘；</w:t>
      </w:r>
      <w:r>
        <w:rPr>
          <w:rFonts w:ascii="Times New Roman" w:hAnsi="Times New Roman" w:eastAsia="仿宋_GB2312"/>
          <w:b/>
          <w:bCs/>
          <w:sz w:val="32"/>
          <w:szCs w:val="32"/>
        </w:rPr>
        <w:t>三是</w:t>
      </w:r>
      <w:r>
        <w:rPr>
          <w:rFonts w:ascii="Times New Roman" w:hAnsi="Times New Roman" w:eastAsia="仿宋_GB2312"/>
          <w:sz w:val="32"/>
          <w:szCs w:val="32"/>
        </w:rPr>
        <w:t>满意度调查设计不科学，样本覆盖不全，结果反馈与改进脱节，制约绩效评价实效。</w:t>
      </w:r>
    </w:p>
    <w:p>
      <w:pPr>
        <w:spacing w:line="560" w:lineRule="exact"/>
        <w:ind w:firstLine="642" w:firstLineChars="200"/>
        <w:rPr>
          <w:rFonts w:ascii="Times New Roman" w:hAnsi="Times New Roman" w:eastAsia="仿宋_GB2312"/>
          <w:b/>
          <w:bCs/>
          <w:sz w:val="32"/>
          <w:szCs w:val="32"/>
        </w:rPr>
      </w:pPr>
      <w:r>
        <w:rPr>
          <w:rFonts w:hint="eastAsia" w:ascii="Times New Roman" w:hAnsi="Times New Roman" w:eastAsia="仿宋_GB2312"/>
          <w:b/>
          <w:bCs/>
          <w:sz w:val="32"/>
          <w:szCs w:val="32"/>
        </w:rPr>
        <w:t>3</w:t>
      </w:r>
      <w:r>
        <w:rPr>
          <w:rFonts w:ascii="Times New Roman" w:hAnsi="Times New Roman" w:eastAsia="仿宋_GB2312"/>
          <w:b/>
          <w:bCs/>
          <w:sz w:val="32"/>
          <w:szCs w:val="32"/>
        </w:rPr>
        <w:t>.</w:t>
      </w:r>
      <w:r>
        <w:rPr>
          <w:rFonts w:hint="eastAsia" w:ascii="Times New Roman" w:hAnsi="Times New Roman" w:eastAsia="仿宋_GB2312"/>
          <w:b/>
          <w:bCs/>
          <w:sz w:val="32"/>
          <w:szCs w:val="32"/>
        </w:rPr>
        <w:t>部门</w:t>
      </w:r>
      <w:r>
        <w:rPr>
          <w:rFonts w:ascii="Times New Roman" w:hAnsi="Times New Roman" w:eastAsia="仿宋_GB2312"/>
          <w:b/>
          <w:bCs/>
          <w:sz w:val="32"/>
          <w:szCs w:val="32"/>
        </w:rPr>
        <w:t>结转结余率</w:t>
      </w:r>
      <w:r>
        <w:rPr>
          <w:rFonts w:hint="eastAsia" w:ascii="Times New Roman" w:hAnsi="Times New Roman" w:eastAsia="仿宋_GB2312"/>
          <w:b/>
          <w:bCs/>
          <w:sz w:val="32"/>
          <w:szCs w:val="32"/>
        </w:rPr>
        <w:t>偏高，预算执行待加强</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2024年部门整体结转结余率9.</w:t>
      </w:r>
      <w:r>
        <w:rPr>
          <w:rFonts w:hint="eastAsia" w:ascii="Times New Roman" w:hAnsi="Times New Roman" w:eastAsia="仿宋_GB2312"/>
          <w:kern w:val="0"/>
          <w:sz w:val="32"/>
          <w:szCs w:val="32"/>
        </w:rPr>
        <w:t>85</w:t>
      </w:r>
      <w:r>
        <w:rPr>
          <w:rFonts w:ascii="Times New Roman" w:hAnsi="Times New Roman" w:eastAsia="仿宋_GB2312"/>
          <w:kern w:val="0"/>
          <w:sz w:val="32"/>
          <w:szCs w:val="32"/>
        </w:rPr>
        <w:t>%，相</w:t>
      </w:r>
      <w:r>
        <w:rPr>
          <w:rFonts w:hint="eastAsia" w:ascii="Times New Roman" w:hAnsi="Times New Roman" w:eastAsia="仿宋_GB2312"/>
          <w:kern w:val="0"/>
          <w:sz w:val="32"/>
          <w:szCs w:val="32"/>
        </w:rPr>
        <w:t>比</w:t>
      </w:r>
      <w:r>
        <w:rPr>
          <w:rFonts w:ascii="Times New Roman" w:hAnsi="Times New Roman" w:eastAsia="仿宋_GB2312"/>
          <w:kern w:val="0"/>
          <w:sz w:val="32"/>
          <w:szCs w:val="32"/>
        </w:rPr>
        <w:t>2023年的5.68%上浮较大，预算资金执行进度存在进一步提升空间。</w:t>
      </w:r>
      <w:r>
        <w:rPr>
          <w:rFonts w:hint="eastAsia" w:ascii="Times New Roman" w:hAnsi="Times New Roman" w:eastAsia="仿宋_GB2312"/>
          <w:b/>
          <w:bCs/>
          <w:kern w:val="0"/>
          <w:sz w:val="32"/>
          <w:szCs w:val="32"/>
        </w:rPr>
        <w:t>一是</w:t>
      </w:r>
      <w:r>
        <w:rPr>
          <w:rFonts w:hint="eastAsia" w:ascii="仿宋_GB2312" w:hAnsi="仿宋" w:eastAsia="仿宋_GB2312" w:cs="仿宋"/>
          <w:bCs/>
          <w:sz w:val="32"/>
          <w:szCs w:val="32"/>
        </w:rPr>
        <w:t>高精尖产业及中小企业发展资金、中央转移支付等项目资金均为年中追加安排，难以在当年形成实际支出。</w:t>
      </w:r>
      <w:r>
        <w:rPr>
          <w:rFonts w:hint="eastAsia" w:ascii="Times New Roman" w:hAnsi="Times New Roman" w:eastAsia="仿宋_GB2312"/>
          <w:b/>
          <w:bCs/>
          <w:kern w:val="0"/>
          <w:sz w:val="32"/>
          <w:szCs w:val="32"/>
        </w:rPr>
        <w:t>二是</w:t>
      </w:r>
      <w:r>
        <w:rPr>
          <w:rFonts w:hint="eastAsia" w:ascii="Times New Roman" w:hAnsi="Times New Roman" w:eastAsia="仿宋_GB2312"/>
          <w:kern w:val="0"/>
          <w:sz w:val="32"/>
          <w:szCs w:val="32"/>
        </w:rPr>
        <w:t>受客观环境</w:t>
      </w:r>
      <w:r>
        <w:rPr>
          <w:rFonts w:ascii="Times New Roman" w:hAnsi="Times New Roman" w:eastAsia="仿宋_GB2312"/>
          <w:kern w:val="0"/>
          <w:sz w:val="32"/>
          <w:szCs w:val="32"/>
        </w:rPr>
        <w:t>变化、年度工作调整等因素影响，</w:t>
      </w:r>
      <w:r>
        <w:rPr>
          <w:rFonts w:ascii="Times New Roman" w:hAnsi="Times New Roman" w:eastAsia="仿宋_GB2312"/>
          <w:sz w:val="32"/>
          <w:szCs w:val="32"/>
        </w:rPr>
        <w:t>个别工作完成情况未达预期</w:t>
      </w:r>
      <w:r>
        <w:rPr>
          <w:rFonts w:hint="eastAsia" w:ascii="Times New Roman" w:hAnsi="Times New Roman" w:eastAsia="仿宋_GB2312"/>
          <w:kern w:val="0"/>
          <w:sz w:val="32"/>
          <w:szCs w:val="32"/>
        </w:rPr>
        <w:t>，如</w:t>
      </w:r>
      <w:r>
        <w:rPr>
          <w:rFonts w:ascii="Times New Roman" w:hAnsi="Times New Roman" w:eastAsia="仿宋_GB2312"/>
          <w:kern w:val="0"/>
          <w:sz w:val="32"/>
          <w:szCs w:val="32"/>
        </w:rPr>
        <w:t>局机关系统统一安全信创改造项目因流标未能执行软件采购。</w:t>
      </w:r>
    </w:p>
    <w:p>
      <w:pPr>
        <w:pStyle w:val="2"/>
        <w:keepNext w:val="0"/>
        <w:keepLines w:val="0"/>
        <w:spacing w:before="0" w:after="0" w:line="560" w:lineRule="exact"/>
        <w:ind w:firstLine="640" w:firstLineChars="200"/>
        <w:rPr>
          <w:rFonts w:ascii="Times New Roman" w:hAnsi="Times New Roman" w:eastAsia="黑体"/>
          <w:b w:val="0"/>
          <w:bCs w:val="0"/>
          <w:sz w:val="32"/>
          <w:szCs w:val="32"/>
        </w:rPr>
      </w:pPr>
      <w:bookmarkStart w:id="48" w:name="_Toc25639"/>
      <w:bookmarkStart w:id="49" w:name="_Toc2430"/>
      <w:r>
        <w:rPr>
          <w:rFonts w:ascii="Times New Roman" w:hAnsi="Times New Roman" w:eastAsia="黑体"/>
          <w:b w:val="0"/>
          <w:bCs w:val="0"/>
          <w:sz w:val="32"/>
          <w:szCs w:val="32"/>
        </w:rPr>
        <w:t>六、措施建议</w:t>
      </w:r>
      <w:bookmarkEnd w:id="48"/>
      <w:bookmarkEnd w:id="49"/>
    </w:p>
    <w:p>
      <w:pPr>
        <w:spacing w:line="560" w:lineRule="exact"/>
        <w:ind w:firstLine="640" w:firstLineChars="200"/>
        <w:outlineLvl w:val="2"/>
        <w:rPr>
          <w:rFonts w:ascii="Times New Roman" w:hAnsi="Times New Roman" w:eastAsia="楷体"/>
          <w:sz w:val="32"/>
          <w:szCs w:val="32"/>
        </w:rPr>
      </w:pPr>
      <w:r>
        <w:rPr>
          <w:rFonts w:ascii="Times New Roman" w:hAnsi="Times New Roman" w:eastAsia="楷体"/>
          <w:sz w:val="32"/>
          <w:szCs w:val="32"/>
        </w:rPr>
        <w:t>（一）强化质量导向与动态管理，提升绩效管理科学化水平</w:t>
      </w:r>
    </w:p>
    <w:p>
      <w:pPr>
        <w:spacing w:line="560" w:lineRule="exact"/>
        <w:ind w:firstLine="642" w:firstLineChars="200"/>
        <w:rPr>
          <w:rFonts w:ascii="Times New Roman" w:hAnsi="Times New Roman" w:eastAsia="仿宋_GB2312"/>
          <w:sz w:val="32"/>
          <w:szCs w:val="32"/>
        </w:rPr>
      </w:pPr>
      <w:bookmarkStart w:id="50" w:name="_Toc28197"/>
      <w:bookmarkStart w:id="51" w:name="_Toc19706"/>
      <w:bookmarkStart w:id="52" w:name="_Toc24471"/>
      <w:bookmarkStart w:id="53" w:name="_Toc22777"/>
      <w:bookmarkStart w:id="54" w:name="_Toc32356"/>
      <w:bookmarkStart w:id="55" w:name="_Toc20023"/>
      <w:r>
        <w:rPr>
          <w:rFonts w:ascii="Times New Roman" w:hAnsi="Times New Roman" w:eastAsia="仿宋_GB2312"/>
          <w:b/>
          <w:bCs/>
          <w:sz w:val="32"/>
          <w:szCs w:val="32"/>
        </w:rPr>
        <w:t>一是</w:t>
      </w:r>
      <w:r>
        <w:rPr>
          <w:rFonts w:ascii="Times New Roman" w:hAnsi="Times New Roman" w:eastAsia="仿宋_GB2312"/>
          <w:sz w:val="32"/>
          <w:szCs w:val="32"/>
        </w:rPr>
        <w:t>强化质量导向，优化考核权重。</w:t>
      </w:r>
      <w:r>
        <w:rPr>
          <w:rFonts w:hint="eastAsia" w:ascii="Times New Roman" w:hAnsi="Times New Roman" w:eastAsia="仿宋_GB2312"/>
          <w:sz w:val="32"/>
          <w:szCs w:val="32"/>
        </w:rPr>
        <w:t>针对受外部因素影响较大的项目，</w:t>
      </w:r>
      <w:r>
        <w:rPr>
          <w:rFonts w:ascii="Times New Roman" w:hAnsi="Times New Roman" w:eastAsia="仿宋_GB2312"/>
          <w:sz w:val="32"/>
          <w:szCs w:val="32"/>
        </w:rPr>
        <w:t>降低数量指标权重，强化质量类指标考核占比，将工作重心向质效提升倾斜，推动绩效目标与履职实效深度契合。</w:t>
      </w:r>
      <w:r>
        <w:rPr>
          <w:rFonts w:ascii="Times New Roman" w:hAnsi="Times New Roman" w:eastAsia="仿宋_GB2312"/>
          <w:b/>
          <w:bCs/>
          <w:sz w:val="32"/>
          <w:szCs w:val="32"/>
        </w:rPr>
        <w:t>二是</w:t>
      </w:r>
      <w:r>
        <w:rPr>
          <w:rFonts w:ascii="Times New Roman" w:hAnsi="Times New Roman" w:eastAsia="仿宋_GB2312"/>
          <w:sz w:val="32"/>
          <w:szCs w:val="32"/>
        </w:rPr>
        <w:t>健全动态管理机制，强化执行联动。</w:t>
      </w:r>
      <w:r>
        <w:rPr>
          <w:rFonts w:hint="eastAsia" w:ascii="Times New Roman" w:hAnsi="Times New Roman" w:eastAsia="仿宋_GB2312"/>
          <w:sz w:val="32"/>
          <w:szCs w:val="32"/>
        </w:rPr>
        <w:t>加强</w:t>
      </w:r>
      <w:r>
        <w:rPr>
          <w:rFonts w:ascii="Times New Roman" w:hAnsi="Times New Roman" w:eastAsia="仿宋_GB2312"/>
          <w:sz w:val="32"/>
          <w:szCs w:val="32"/>
        </w:rPr>
        <w:t>绩效目标动态监测和调整，对因政策调整</w:t>
      </w:r>
      <w:r>
        <w:rPr>
          <w:rFonts w:hint="eastAsia" w:ascii="Times New Roman" w:hAnsi="Times New Roman" w:eastAsia="仿宋_GB2312"/>
          <w:sz w:val="32"/>
          <w:szCs w:val="32"/>
        </w:rPr>
        <w:t>等客观环境变化导致的工作任务变动，及时调整项目绩效目标，</w:t>
      </w:r>
      <w:r>
        <w:rPr>
          <w:rFonts w:ascii="Times New Roman" w:hAnsi="Times New Roman" w:eastAsia="仿宋_GB2312"/>
          <w:sz w:val="32"/>
          <w:szCs w:val="32"/>
        </w:rPr>
        <w:t>确保考核指标与工作实际同步适配</w:t>
      </w:r>
      <w:r>
        <w:rPr>
          <w:rFonts w:hint="eastAsia" w:ascii="Times New Roman" w:hAnsi="Times New Roman" w:eastAsia="仿宋_GB2312"/>
          <w:sz w:val="32"/>
          <w:szCs w:val="32"/>
        </w:rPr>
        <w:t>。</w:t>
      </w:r>
    </w:p>
    <w:p>
      <w:pPr>
        <w:numPr>
          <w:ilvl w:val="0"/>
          <w:numId w:val="1"/>
        </w:numPr>
        <w:spacing w:line="560" w:lineRule="exact"/>
        <w:ind w:firstLine="640" w:firstLineChars="200"/>
        <w:outlineLvl w:val="2"/>
        <w:rPr>
          <w:rFonts w:ascii="Times New Roman" w:hAnsi="Times New Roman" w:eastAsia="楷体"/>
          <w:sz w:val="32"/>
          <w:szCs w:val="32"/>
        </w:rPr>
      </w:pPr>
      <w:r>
        <w:rPr>
          <w:rFonts w:hint="eastAsia" w:ascii="Times New Roman" w:hAnsi="Times New Roman" w:eastAsia="楷体"/>
          <w:sz w:val="32"/>
          <w:szCs w:val="32"/>
        </w:rPr>
        <w:t>加强</w:t>
      </w:r>
      <w:bookmarkEnd w:id="50"/>
      <w:bookmarkEnd w:id="51"/>
      <w:bookmarkEnd w:id="52"/>
      <w:bookmarkEnd w:id="53"/>
      <w:bookmarkEnd w:id="54"/>
      <w:bookmarkEnd w:id="55"/>
      <w:r>
        <w:rPr>
          <w:rFonts w:ascii="Times New Roman" w:hAnsi="Times New Roman" w:eastAsia="楷体"/>
          <w:sz w:val="32"/>
          <w:szCs w:val="32"/>
        </w:rPr>
        <w:t>绩效成果归集跟踪，深化分析应用提升管理效能</w:t>
      </w:r>
    </w:p>
    <w:p>
      <w:pPr>
        <w:spacing w:line="560" w:lineRule="exact"/>
        <w:ind w:firstLine="642" w:firstLineChars="200"/>
        <w:rPr>
          <w:rFonts w:ascii="Times New Roman" w:hAnsi="Times New Roman" w:eastAsia="仿宋_GB2312"/>
          <w:sz w:val="32"/>
          <w:szCs w:val="32"/>
        </w:rPr>
      </w:pPr>
      <w:r>
        <w:rPr>
          <w:rFonts w:ascii="Times New Roman" w:hAnsi="Times New Roman" w:eastAsia="仿宋_GB2312"/>
          <w:b/>
          <w:bCs/>
          <w:sz w:val="32"/>
          <w:szCs w:val="32"/>
        </w:rPr>
        <w:t>一是</w:t>
      </w:r>
      <w:r>
        <w:rPr>
          <w:rFonts w:ascii="Times New Roman" w:hAnsi="Times New Roman" w:eastAsia="仿宋_GB2312"/>
          <w:sz w:val="32"/>
          <w:szCs w:val="32"/>
        </w:rPr>
        <w:t>加强绩效过程管理，对项目关键指标的完成情况及时收集过程材料，避免</w:t>
      </w:r>
      <w:r>
        <w:rPr>
          <w:rFonts w:hint="eastAsia" w:ascii="Times New Roman" w:hAnsi="Times New Roman" w:eastAsia="仿宋_GB2312"/>
          <w:sz w:val="32"/>
          <w:szCs w:val="32"/>
        </w:rPr>
        <w:t>“</w:t>
      </w:r>
      <w:r>
        <w:rPr>
          <w:rFonts w:ascii="Times New Roman" w:hAnsi="Times New Roman" w:eastAsia="仿宋_GB2312"/>
          <w:sz w:val="32"/>
          <w:szCs w:val="32"/>
        </w:rPr>
        <w:t>事后补台账</w:t>
      </w:r>
      <w:r>
        <w:rPr>
          <w:rFonts w:hint="eastAsia" w:ascii="Times New Roman" w:hAnsi="Times New Roman" w:eastAsia="仿宋_GB2312"/>
          <w:sz w:val="32"/>
          <w:szCs w:val="32"/>
        </w:rPr>
        <w:t>”</w:t>
      </w:r>
      <w:r>
        <w:rPr>
          <w:rFonts w:ascii="Times New Roman" w:hAnsi="Times New Roman" w:eastAsia="仿宋_GB2312"/>
          <w:sz w:val="32"/>
          <w:szCs w:val="32"/>
        </w:rPr>
        <w:t>，确保每一步进展可查可溯</w:t>
      </w:r>
      <w:r>
        <w:rPr>
          <w:rFonts w:hint="eastAsia" w:ascii="Times New Roman" w:hAnsi="Times New Roman" w:eastAsia="仿宋_GB2312"/>
          <w:sz w:val="32"/>
          <w:szCs w:val="32"/>
        </w:rPr>
        <w:t>。</w:t>
      </w:r>
      <w:r>
        <w:rPr>
          <w:rFonts w:ascii="Times New Roman" w:hAnsi="Times New Roman" w:eastAsia="仿宋_GB2312"/>
          <w:b/>
          <w:bCs/>
          <w:sz w:val="32"/>
          <w:szCs w:val="32"/>
        </w:rPr>
        <w:t>二是</w:t>
      </w:r>
      <w:r>
        <w:rPr>
          <w:rFonts w:ascii="Times New Roman" w:hAnsi="Times New Roman" w:eastAsia="仿宋_GB2312"/>
          <w:sz w:val="32"/>
          <w:szCs w:val="32"/>
        </w:rPr>
        <w:t>深化成本效益分析与横向对标，推动成果效益从</w:t>
      </w:r>
      <w:r>
        <w:rPr>
          <w:rFonts w:hint="eastAsia" w:ascii="Times New Roman" w:hAnsi="Times New Roman" w:eastAsia="仿宋_GB2312"/>
          <w:sz w:val="32"/>
          <w:szCs w:val="32"/>
        </w:rPr>
        <w:t>“</w:t>
      </w:r>
      <w:r>
        <w:rPr>
          <w:rFonts w:ascii="Times New Roman" w:hAnsi="Times New Roman" w:eastAsia="仿宋_GB2312"/>
          <w:sz w:val="32"/>
          <w:szCs w:val="32"/>
        </w:rPr>
        <w:t>数据汇总</w:t>
      </w:r>
      <w:r>
        <w:rPr>
          <w:rFonts w:hint="eastAsia" w:ascii="Times New Roman" w:hAnsi="Times New Roman" w:eastAsia="仿宋_GB2312"/>
          <w:sz w:val="32"/>
          <w:szCs w:val="32"/>
        </w:rPr>
        <w:t>”</w:t>
      </w:r>
      <w:r>
        <w:rPr>
          <w:rFonts w:ascii="Times New Roman" w:hAnsi="Times New Roman" w:eastAsia="仿宋_GB2312"/>
          <w:sz w:val="32"/>
          <w:szCs w:val="32"/>
        </w:rPr>
        <w:t>向</w:t>
      </w:r>
      <w:r>
        <w:rPr>
          <w:rFonts w:hint="eastAsia" w:ascii="Times New Roman" w:hAnsi="Times New Roman" w:eastAsia="仿宋_GB2312"/>
          <w:sz w:val="32"/>
          <w:szCs w:val="32"/>
        </w:rPr>
        <w:t>“</w:t>
      </w:r>
      <w:r>
        <w:rPr>
          <w:rFonts w:ascii="Times New Roman" w:hAnsi="Times New Roman" w:eastAsia="仿宋_GB2312"/>
          <w:sz w:val="32"/>
          <w:szCs w:val="32"/>
        </w:rPr>
        <w:t>价值挖掘</w:t>
      </w:r>
      <w:r>
        <w:rPr>
          <w:rFonts w:hint="eastAsia" w:ascii="Times New Roman" w:hAnsi="Times New Roman" w:eastAsia="仿宋_GB2312"/>
          <w:sz w:val="32"/>
          <w:szCs w:val="32"/>
        </w:rPr>
        <w:t>”</w:t>
      </w:r>
      <w:r>
        <w:rPr>
          <w:rFonts w:ascii="Times New Roman" w:hAnsi="Times New Roman" w:eastAsia="仿宋_GB2312"/>
          <w:sz w:val="32"/>
          <w:szCs w:val="32"/>
        </w:rPr>
        <w:t>升级</w:t>
      </w:r>
      <w:r>
        <w:rPr>
          <w:rFonts w:hint="eastAsia" w:ascii="Times New Roman" w:hAnsi="Times New Roman" w:eastAsia="仿宋_GB2312"/>
          <w:sz w:val="32"/>
          <w:szCs w:val="32"/>
        </w:rPr>
        <w:t>。</w:t>
      </w:r>
      <w:r>
        <w:rPr>
          <w:rFonts w:ascii="Times New Roman" w:hAnsi="Times New Roman" w:eastAsia="仿宋_GB2312"/>
          <w:b/>
          <w:bCs/>
          <w:sz w:val="32"/>
          <w:szCs w:val="32"/>
        </w:rPr>
        <w:t>三是</w:t>
      </w:r>
      <w:r>
        <w:rPr>
          <w:rFonts w:ascii="Times New Roman" w:hAnsi="Times New Roman" w:eastAsia="仿宋_GB2312"/>
          <w:sz w:val="32"/>
          <w:szCs w:val="32"/>
        </w:rPr>
        <w:t>优化满意度调查闭环应用，科学设计问卷，扩大</w:t>
      </w:r>
      <w:r>
        <w:rPr>
          <w:rFonts w:hint="eastAsia" w:ascii="Times New Roman" w:hAnsi="Times New Roman" w:eastAsia="仿宋_GB2312"/>
          <w:sz w:val="32"/>
          <w:szCs w:val="32"/>
        </w:rPr>
        <w:t>调查覆盖面</w:t>
      </w:r>
      <w:r>
        <w:rPr>
          <w:rFonts w:ascii="Times New Roman" w:hAnsi="Times New Roman" w:eastAsia="仿宋_GB2312"/>
          <w:sz w:val="32"/>
          <w:szCs w:val="32"/>
        </w:rPr>
        <w:t>，</w:t>
      </w:r>
      <w:r>
        <w:rPr>
          <w:rFonts w:hint="eastAsia" w:ascii="Times New Roman" w:hAnsi="Times New Roman" w:eastAsia="仿宋_GB2312"/>
          <w:sz w:val="32"/>
          <w:szCs w:val="32"/>
        </w:rPr>
        <w:t>并</w:t>
      </w:r>
      <w:r>
        <w:rPr>
          <w:rFonts w:ascii="Times New Roman" w:hAnsi="Times New Roman" w:eastAsia="仿宋_GB2312"/>
          <w:sz w:val="32"/>
          <w:szCs w:val="32"/>
        </w:rPr>
        <w:t>将结果用于改进工作，杜绝</w:t>
      </w:r>
      <w:r>
        <w:rPr>
          <w:rFonts w:hint="eastAsia" w:ascii="Times New Roman" w:hAnsi="Times New Roman" w:eastAsia="仿宋_GB2312"/>
          <w:sz w:val="32"/>
          <w:szCs w:val="32"/>
        </w:rPr>
        <w:t>“</w:t>
      </w:r>
      <w:r>
        <w:rPr>
          <w:rFonts w:ascii="Times New Roman" w:hAnsi="Times New Roman" w:eastAsia="仿宋_GB2312"/>
          <w:sz w:val="32"/>
          <w:szCs w:val="32"/>
        </w:rPr>
        <w:t>重收集、轻应用</w:t>
      </w:r>
      <w:r>
        <w:rPr>
          <w:rFonts w:hint="eastAsia" w:ascii="Times New Roman" w:hAnsi="Times New Roman" w:eastAsia="仿宋_GB2312"/>
          <w:sz w:val="32"/>
          <w:szCs w:val="32"/>
        </w:rPr>
        <w:t>”</w:t>
      </w:r>
      <w:r>
        <w:rPr>
          <w:rFonts w:ascii="Times New Roman" w:hAnsi="Times New Roman" w:eastAsia="仿宋_GB2312"/>
          <w:sz w:val="32"/>
          <w:szCs w:val="32"/>
        </w:rPr>
        <w:t>的形式化倾向。</w:t>
      </w:r>
    </w:p>
    <w:p>
      <w:pPr>
        <w:spacing w:line="560" w:lineRule="exact"/>
        <w:ind w:firstLine="640" w:firstLineChars="200"/>
        <w:outlineLvl w:val="2"/>
        <w:rPr>
          <w:rFonts w:ascii="Times New Roman" w:hAnsi="Times New Roman" w:eastAsia="楷体"/>
          <w:sz w:val="32"/>
          <w:szCs w:val="32"/>
        </w:rPr>
      </w:pPr>
      <w:r>
        <w:rPr>
          <w:rFonts w:ascii="Times New Roman" w:hAnsi="Times New Roman" w:eastAsia="楷体"/>
          <w:sz w:val="32"/>
          <w:szCs w:val="32"/>
        </w:rPr>
        <w:t>（</w:t>
      </w:r>
      <w:r>
        <w:rPr>
          <w:rFonts w:hint="eastAsia" w:ascii="Times New Roman" w:hAnsi="Times New Roman" w:eastAsia="楷体"/>
          <w:sz w:val="32"/>
          <w:szCs w:val="32"/>
        </w:rPr>
        <w:t>三</w:t>
      </w:r>
      <w:r>
        <w:rPr>
          <w:rFonts w:ascii="Times New Roman" w:hAnsi="Times New Roman" w:eastAsia="楷体"/>
          <w:sz w:val="32"/>
          <w:szCs w:val="32"/>
        </w:rPr>
        <w:t>）抓牢项目储备谋划与事中执行监控，提升财政资金使用效益</w:t>
      </w:r>
    </w:p>
    <w:p>
      <w:pPr>
        <w:spacing w:line="560" w:lineRule="exact"/>
        <w:ind w:firstLine="642" w:firstLineChars="200"/>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一是</w:t>
      </w:r>
      <w:r>
        <w:rPr>
          <w:rFonts w:hint="eastAsia" w:ascii="仿宋_GB2312" w:hAnsi="宋体" w:eastAsia="仿宋_GB2312" w:cs="宋体"/>
          <w:kern w:val="0"/>
          <w:sz w:val="32"/>
          <w:szCs w:val="32"/>
        </w:rPr>
        <w:t>做好项目储备，对高精尖产业等高频追加领域，提前筛选成熟项目纳入年初预算，减少年中临时性安排。</w:t>
      </w:r>
      <w:r>
        <w:rPr>
          <w:rFonts w:hint="eastAsia" w:ascii="仿宋_GB2312" w:hAnsi="宋体" w:eastAsia="仿宋_GB2312" w:cs="宋体"/>
          <w:b/>
          <w:bCs/>
          <w:kern w:val="0"/>
          <w:sz w:val="32"/>
          <w:szCs w:val="32"/>
        </w:rPr>
        <w:t>二是</w:t>
      </w:r>
      <w:r>
        <w:rPr>
          <w:rFonts w:ascii="仿宋_GB2312" w:hAnsi="宋体" w:eastAsia="仿宋_GB2312" w:cs="宋体"/>
          <w:kern w:val="0"/>
          <w:sz w:val="32"/>
          <w:szCs w:val="32"/>
        </w:rPr>
        <w:t>加强预算执行监控，重点关注年中项目预算执行监控结果，对于预算执行与绩效指标完成进度滞后的项目及时纠偏，对于受客观因素或工作计划调整影响</w:t>
      </w:r>
      <w:r>
        <w:rPr>
          <w:rFonts w:hint="eastAsia" w:ascii="仿宋_GB2312" w:hAnsi="宋体" w:eastAsia="仿宋_GB2312" w:cs="宋体"/>
          <w:kern w:val="0"/>
          <w:sz w:val="32"/>
          <w:szCs w:val="32"/>
        </w:rPr>
        <w:t>，</w:t>
      </w:r>
      <w:r>
        <w:rPr>
          <w:rFonts w:ascii="仿宋_GB2312" w:hAnsi="宋体" w:eastAsia="仿宋_GB2312" w:cs="宋体"/>
          <w:kern w:val="0"/>
          <w:sz w:val="32"/>
          <w:szCs w:val="32"/>
        </w:rPr>
        <w:t>支出计划发生调整的项目及时申请预算调整或核减，充分发挥财政资金使用效益。</w:t>
      </w:r>
    </w:p>
    <w:p>
      <w:pPr>
        <w:pStyle w:val="2"/>
        <w:keepNext w:val="0"/>
        <w:keepLines w:val="0"/>
        <w:spacing w:before="0" w:after="0" w:line="560" w:lineRule="exact"/>
        <w:ind w:firstLine="640" w:firstLineChars="200"/>
        <w:rPr>
          <w:rFonts w:ascii="Times New Roman" w:hAnsi="Times New Roman" w:eastAsia="黑体"/>
          <w:b w:val="0"/>
          <w:bCs w:val="0"/>
          <w:sz w:val="32"/>
          <w:szCs w:val="32"/>
        </w:rPr>
      </w:pPr>
      <w:bookmarkStart w:id="56" w:name="_Toc21628"/>
      <w:r>
        <w:rPr>
          <w:rFonts w:hint="eastAsia" w:ascii="Times New Roman" w:hAnsi="Times New Roman" w:eastAsia="黑体"/>
          <w:b w:val="0"/>
          <w:bCs w:val="0"/>
          <w:sz w:val="32"/>
          <w:szCs w:val="32"/>
        </w:rPr>
        <w:t>七</w:t>
      </w:r>
      <w:r>
        <w:rPr>
          <w:rFonts w:ascii="Times New Roman" w:hAnsi="Times New Roman" w:eastAsia="黑体"/>
          <w:b w:val="0"/>
          <w:bCs w:val="0"/>
          <w:sz w:val="32"/>
          <w:szCs w:val="32"/>
        </w:rPr>
        <w:t>、</w:t>
      </w:r>
      <w:r>
        <w:rPr>
          <w:rFonts w:hint="eastAsia" w:ascii="Times New Roman" w:hAnsi="Times New Roman" w:eastAsia="黑体"/>
          <w:b w:val="0"/>
          <w:bCs w:val="0"/>
          <w:sz w:val="32"/>
          <w:szCs w:val="32"/>
        </w:rPr>
        <w:t>附件</w:t>
      </w:r>
      <w:bookmarkEnd w:id="56"/>
    </w:p>
    <w:p>
      <w:pPr>
        <w:spacing w:line="560" w:lineRule="exact"/>
        <w:ind w:firstLine="640" w:firstLineChars="200"/>
        <w:outlineLvl w:val="2"/>
        <w:rPr>
          <w:rFonts w:hint="eastAsia" w:ascii="仿宋_GB2312" w:hAnsi="宋体" w:eastAsia="仿宋_GB2312" w:cs="宋体"/>
          <w:kern w:val="0"/>
          <w:sz w:val="32"/>
          <w:szCs w:val="32"/>
        </w:rPr>
      </w:pPr>
      <w:r>
        <w:rPr>
          <w:rFonts w:ascii="Times New Roman" w:hAnsi="Times New Roman" w:eastAsia="仿宋_GB2312"/>
          <w:sz w:val="32"/>
          <w:szCs w:val="32"/>
        </w:rPr>
        <w:t>北京市经济和信息化局</w:t>
      </w:r>
      <w:r>
        <w:rPr>
          <w:rFonts w:hint="eastAsia" w:ascii="Times New Roman" w:hAnsi="Times New Roman" w:eastAsia="仿宋_GB2312"/>
          <w:sz w:val="32"/>
          <w:szCs w:val="32"/>
        </w:rPr>
        <w:t>2024年</w:t>
      </w:r>
      <w:r>
        <w:rPr>
          <w:rFonts w:ascii="Times New Roman" w:hAnsi="Times New Roman" w:eastAsia="仿宋_GB2312"/>
          <w:sz w:val="32"/>
          <w:szCs w:val="32"/>
        </w:rPr>
        <w:t>度部门整体绩效评价指标体系评分表</w:t>
      </w:r>
    </w:p>
    <w:sectPr>
      <w:headerReference r:id="rId9" w:type="default"/>
      <w:footerReference r:id="rId10" w:type="default"/>
      <w:footnotePr>
        <w:numFmt w:val="decimalEnclosedCircleChinese"/>
      </w:footnotePr>
      <w:pgSz w:w="11906" w:h="16838"/>
      <w:pgMar w:top="1440" w:right="1416"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Arial">
    <w:altName w:val="DejaVu Sans"/>
    <w:panose1 w:val="020B0604020202020204"/>
    <w:charset w:val="00"/>
    <w:family w:val="swiss"/>
    <w:pitch w:val="default"/>
    <w:sig w:usb0="00000000" w:usb1="00000000" w:usb2="00000009" w:usb3="00000000" w:csb0="000001FF" w:csb1="00000000"/>
  </w:font>
  <w:font w:name="黑体">
    <w:panose1 w:val="02010609060101010101"/>
    <w:charset w:val="86"/>
    <w:family w:val="modern"/>
    <w:pitch w:val="default"/>
    <w:sig w:usb0="800002BF" w:usb1="38CF7CFA" w:usb2="00000016"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Cambria">
    <w:altName w:val="FreeSerif"/>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等线">
    <w:altName w:val="宋体"/>
    <w:panose1 w:val="02010600030101010101"/>
    <w:charset w:val="86"/>
    <w:family w:val="auto"/>
    <w:pitch w:val="default"/>
    <w:sig w:usb0="00000000" w:usb1="00000000" w:usb2="00000016" w:usb3="00000000" w:csb0="0004000F" w:csb1="00000000"/>
  </w:font>
  <w:font w:name="Abel">
    <w:altName w:val="Abyssinica SIL"/>
    <w:panose1 w:val="00000000000000000000"/>
    <w:charset w:val="00"/>
    <w:family w:val="auto"/>
    <w:pitch w:val="default"/>
    <w:sig w:usb0="00000000" w:usb1="00000000" w:usb2="00000000" w:usb3="00000000" w:csb0="00000001" w:csb1="00000000"/>
  </w:font>
  <w:font w:name="Times New Roman Regular">
    <w:altName w:val="DejaVu Sans"/>
    <w:panose1 w:val="00000000000000000000"/>
    <w:charset w:val="00"/>
    <w:family w:val="auto"/>
    <w:pitch w:val="default"/>
    <w:sig w:usb0="00000000" w:usb1="00000000" w:usb2="00000001" w:usb3="00000000" w:csb0="400001BF" w:csb1="DFF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思源黑体 CN">
    <w:panose1 w:val="020B0600000000000000"/>
    <w:charset w:val="86"/>
    <w:family w:val="auto"/>
    <w:pitch w:val="default"/>
    <w:sig w:usb0="2000000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200" w:line="560" w:lineRule="exact"/>
      <w:ind w:firstLine="360" w:firstLineChars="200"/>
      <w:jc w:val="left"/>
      <w:rPr>
        <w:rFonts w:ascii="Times New Roman" w:hAnsi="Times New Roman" w:eastAsia="仿宋"/>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200" w:line="560" w:lineRule="exact"/>
      <w:ind w:firstLine="360" w:firstLineChars="200"/>
      <w:jc w:val="left"/>
      <w:rPr>
        <w:rFonts w:ascii="Times New Roman" w:hAnsi="Times New Roman" w:eastAsia="仿宋"/>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zSVju0AAA&#10;AAUBAAAPAAAAAAAAAAEAIAAAADgAAABkcnMvZG93bnJldi54bWxQSwECFAAUAAAACACHTuJAYZVh&#10;XhACAAAHBAAADgAAAAAAAAABACAAAAA1AQAAZHJzL2Uyb0RvYy54bWxQSwUGAAAAAAYABgBZAQAA&#10;twU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3"/>
      </w:pPr>
      <w:r>
        <w:rPr>
          <w:rStyle w:val="31"/>
        </w:rPr>
        <w:footnoteRef/>
      </w:r>
      <w:r>
        <w:t xml:space="preserve"> </w:t>
      </w:r>
      <w:r>
        <w:rPr>
          <w:rFonts w:hint="eastAsia"/>
        </w:rPr>
        <w:t>结转结余率=年末结转结余金额/调整预算数×100%。</w:t>
      </w:r>
    </w:p>
  </w:footnote>
  <w:footnote w:id="1">
    <w:p>
      <w:pPr>
        <w:pStyle w:val="23"/>
      </w:pPr>
      <w:r>
        <w:rPr>
          <w:rStyle w:val="31"/>
        </w:rPr>
        <w:footnoteRef/>
      </w:r>
      <w:r>
        <w:t xml:space="preserve"> </w:t>
      </w:r>
      <w:r>
        <w:rPr>
          <w:rFonts w:hint="eastAsia"/>
        </w:rPr>
        <w:t>预决算差异率=（决算数-预算数）/预算数×</w:t>
      </w:r>
      <w:r>
        <w:t>100</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200" w:line="560" w:lineRule="exact"/>
      <w:ind w:firstLine="640" w:firstLineChars="200"/>
      <w:rPr>
        <w:rFonts w:ascii="Times New Roman" w:hAnsi="Times New Roman" w:eastAsia="仿宋"/>
        <w:sz w:val="32"/>
        <w:szCs w:val="32"/>
      </w:rPr>
    </w:pPr>
    <w:r>
      <w:rPr>
        <w:rFonts w:ascii="Times New Roman" w:hAnsi="Times New Roman" w:eastAsia="仿宋"/>
        <w:sz w:val="32"/>
        <w:szCs w:val="32"/>
      </w:rPr>
      <mc:AlternateContent>
        <mc:Choice Requires="wps">
          <w:drawing>
            <wp:anchor distT="0" distB="0" distL="114300" distR="114300" simplePos="0" relativeHeight="251657216" behindDoc="0" locked="0" layoutInCell="1" allowOverlap="1">
              <wp:simplePos x="0" y="0"/>
              <wp:positionH relativeFrom="page">
                <wp:posOffset>0</wp:posOffset>
              </wp:positionH>
              <wp:positionV relativeFrom="page">
                <wp:posOffset>0</wp:posOffset>
              </wp:positionV>
              <wp:extent cx="0" cy="0"/>
              <wp:effectExtent l="0" t="0" r="0" b="0"/>
              <wp:wrapNone/>
              <wp:docPr id="1" name="ImpTraceLabel"/>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wps:spPr>
                    <wps:txbx>
                      <w:txbxContent>
                        <w:p>
                          <w:pPr>
                            <w:spacing w:after="200" w:line="560" w:lineRule="exact"/>
                            <w:ind w:firstLine="640" w:firstLineChars="200"/>
                            <w:rPr>
                              <w:rFonts w:ascii="Times New Roman" w:hAnsi="Times New Roman" w:eastAsia="仿宋"/>
                              <w:sz w:val="32"/>
                              <w:szCs w:val="32"/>
                            </w:rPr>
                          </w:pPr>
                          <w:r>
                            <w:rPr>
                              <w:rFonts w:ascii="Times New Roman" w:hAnsi="Times New Roman" w:eastAsia="仿宋"/>
                              <w:sz w:val="32"/>
                              <w:szCs w:val="32"/>
                            </w:rPr>
                            <w:t>&lt;root&gt;&lt;sender&gt;wangy2@bjmail.bjaudit.gov.cn&lt;/sender&gt;&lt;type&gt;2&lt;/type&gt;&lt;subject&gt;北京市审计局2021年度经济责任审计经费项目绩效评价报告-0511（加附件）.docx&lt;/subject&gt;&lt;attachmentName&gt;北京市审计局2021年度部门整体绩效评价报告-0512.docx&lt;/attachmentName&gt;&lt;addressee&gt;licb@bjmail.bjaudit.gov.cn&lt;/addressee&gt;&lt;mailSec&gt;无密级&lt;/mailSec&gt;&lt;sendTime&gt;2022-05-12 15:02:02&lt;/sendTime&gt;&lt;loadTime&gt;2022-05-12 15:07:09&lt;/loadTime&gt;&lt;/root&gt;</w:t>
                          </w:r>
                        </w:p>
                      </w:txbxContent>
                    </wps:txbx>
                    <wps:bodyPr rot="0" vert="horz" wrap="square" lIns="91440" tIns="45720" rIns="91440" bIns="45720" anchor="t" anchorCtr="0" upright="1">
                      <a:noAutofit/>
                    </wps:bodyPr>
                  </wps:wsp>
                </a:graphicData>
              </a:graphic>
            </wp:anchor>
          </w:drawing>
        </mc:Choice>
        <mc:Fallback>
          <w:pict>
            <v:shape id="ImpTraceLabel" o:spid="_x0000_s1026" o:spt="202" type="#_x0000_t202" style="position:absolute;left:0pt;margin-left:0pt;margin-top:0pt;height:0pt;width:0pt;mso-position-horizontal-relative:page;mso-position-vertical-relative:page;z-index:251657216;mso-width-relative:page;mso-height-relative:page;" filled="f" stroked="f" coordsize="21600,21600" o:gfxdata="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OY4&#10;9cvMAAAA/wAAAA8AAAAAAAAAAQAgAAAAOAAAAGRycy9kb3ducmV2LnhtbFBLAQIUABQAAAAIAIdO&#10;4kDax0E34AEAAL4DAAAOAAAAAAAAAAEAIAAAADEBAABkcnMvZTJvRG9jLnhtbFBLBQYAAAAABgAG&#10;AFkBAACDBQAAAAA=&#10;">
              <v:fill on="f" focussize="0,0"/>
              <v:stroke on="f"/>
              <v:imagedata o:title=""/>
              <o:lock v:ext="edit" aspectratio="f"/>
              <v:textbox>
                <w:txbxContent>
                  <w:p>
                    <w:pPr>
                      <w:spacing w:after="200" w:line="560" w:lineRule="exact"/>
                      <w:ind w:firstLine="640" w:firstLineChars="200"/>
                      <w:rPr>
                        <w:rFonts w:ascii="Times New Roman" w:hAnsi="Times New Roman" w:eastAsia="仿宋"/>
                        <w:sz w:val="32"/>
                        <w:szCs w:val="32"/>
                      </w:rPr>
                    </w:pPr>
                    <w:r>
                      <w:rPr>
                        <w:rFonts w:ascii="Times New Roman" w:hAnsi="Times New Roman" w:eastAsia="仿宋"/>
                        <w:sz w:val="32"/>
                        <w:szCs w:val="32"/>
                      </w:rPr>
                      <w:t>&lt;root&gt;&lt;sender&gt;wangy2@bjmail.bjaudit.gov.cn&lt;/sender&gt;&lt;type&gt;2&lt;/type&gt;&lt;subject&gt;北京市审计局2021年度经济责任审计经费项目绩效评价报告-0511（加附件）.docx&lt;/subject&gt;&lt;attachmentName&gt;北京市审计局2021年度部门整体绩效评价报告-0512.docx&lt;/attachmentName&gt;&lt;addressee&gt;licb@bjmail.bjaudit.gov.cn&lt;/addressee&gt;&lt;mailSec&gt;无密级&lt;/mailSec&gt;&lt;sendTime&gt;2022-05-12 15:02:02&lt;/sendTime&gt;&lt;loadTime&gt;2022-05-12 15:07:09&lt;/loadTime&gt;&lt;/root&gt;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spacing w:after="200" w:line="560" w:lineRule="exact"/>
      <w:ind w:firstLine="360" w:firstLineChars="200"/>
      <w:jc w:val="center"/>
      <w:rPr>
        <w:rFonts w:ascii="Times New Roman" w:hAnsi="Times New Roman" w:eastAsia="仿宋"/>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spacing w:after="200" w:line="560" w:lineRule="exact"/>
      <w:ind w:firstLine="360" w:firstLineChars="200"/>
      <w:jc w:val="center"/>
      <w:rPr>
        <w:rFonts w:ascii="Times New Roman" w:hAnsi="Times New Roman" w:eastAsia="仿宋"/>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r>
      <mc:AlternateContent>
        <mc:Choice Requires="wps">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0" cy="0"/>
              <wp:effectExtent l="0" t="0" r="0" b="0"/>
              <wp:wrapNone/>
              <wp:docPr id="8" name="ImpTraceLabel"/>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wps:spPr>
                    <wps:txbx>
                      <w:txbxContent>
                        <w:p>
                          <w:pPr>
                            <w:ind w:firstLine="640"/>
                          </w:pPr>
                          <w:r>
                            <w:t>&lt;root&gt;&lt;sender&gt;wangy2@bjmail.bjaudit.gov.cn&lt;/sender&gt;&lt;type&gt;2&lt;/type&gt;&lt;subject&gt;北京市审计局2021年度经济责任审计经费项目绩效评价报告-0511（加附件）.docx&lt;/subject&gt;&lt;attachmentName&gt;北京市审计局2021年度部门整体绩效评价报告-0512.docx&lt;/attachmentName&gt;&lt;addressee&gt;licb@bjmail.bjaudit.gov.cn&lt;/addressee&gt;&lt;mailSec&gt;无密级&lt;/mailSec&gt;&lt;sendTime&gt;2022-05-12 15:02:02&lt;/sendTime&gt;&lt;loadTime&gt;2022-05-12 15:07:09&lt;/loadTime&gt;&lt;/root&gt;</w:t>
                          </w:r>
                        </w:p>
                      </w:txbxContent>
                    </wps:txbx>
                    <wps:bodyPr rot="0" vert="horz" wrap="square" lIns="91440" tIns="45720" rIns="91440" bIns="45720" anchor="t" anchorCtr="0" upright="1">
                      <a:noAutofit/>
                    </wps:bodyPr>
                  </wps:wsp>
                </a:graphicData>
              </a:graphic>
            </wp:anchor>
          </w:drawing>
        </mc:Choice>
        <mc:Fallback>
          <w:pict>
            <v:shape id="ImpTraceLabel" o:spid="_x0000_s1026" o:spt="202" type="#_x0000_t202" style="position:absolute;left:0pt;margin-left:0pt;margin-top:0pt;height:0pt;width:0pt;mso-position-horizontal-relative:page;mso-position-vertical-relative:page;z-index:251658240;mso-width-relative:page;mso-height-relative:page;" filled="f" stroked="f" coordsize="21600,21600" o:gfxdata="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Dm&#10;OPXLzAAAAP8AAAAPAAAAAAAAAAEAIAAAADgAAABkcnMvZG93bnJldi54bWxQSwECFAAUAAAACACH&#10;TuJAuGur6+EBAAC+AwAADgAAAAAAAAABACAAAAAxAQAAZHJzL2Uyb0RvYy54bWxQSwUGAAAAAAYA&#10;BgBZAQAAhAUAAAAA&#10;">
              <v:fill on="f" focussize="0,0"/>
              <v:stroke on="f"/>
              <v:imagedata o:title=""/>
              <o:lock v:ext="edit" aspectratio="f"/>
              <v:textbox>
                <w:txbxContent>
                  <w:p>
                    <w:pPr>
                      <w:ind w:firstLine="640"/>
                    </w:pPr>
                    <w:r>
                      <w:t>&lt;root&gt;&lt;sender&gt;wangy2@bjmail.bjaudit.gov.cn&lt;/sender&gt;&lt;type&gt;2&lt;/type&gt;&lt;subject&gt;北京市审计局2021年度经济责任审计经费项目绩效评价报告-0511（加附件）.docx&lt;/subject&gt;&lt;attachmentName&gt;北京市审计局2021年度部门整体绩效评价报告-0512.docx&lt;/attachmentName&gt;&lt;addressee&gt;licb@bjmail.bjaudit.gov.cn&lt;/addressee&gt;&lt;mailSec&gt;无密级&lt;/mailSec&gt;&lt;sendTime&gt;2022-05-12 15:02:02&lt;/sendTime&gt;&lt;loadTime&gt;2022-05-12 15:07:09&lt;/loadTime&gt;&lt;/root&gt;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3EC19"/>
    <w:multiLevelType w:val="singleLevel"/>
    <w:tmpl w:val="4F03EC1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NGFlOWFiODBiMTdmMzhjMjI3MTQzODQyMWVjNDIifQ=="/>
  </w:docVars>
  <w:rsids>
    <w:rsidRoot w:val="00172A27"/>
    <w:rsid w:val="00001B05"/>
    <w:rsid w:val="00004C74"/>
    <w:rsid w:val="00005A47"/>
    <w:rsid w:val="0000744B"/>
    <w:rsid w:val="00007E49"/>
    <w:rsid w:val="00014393"/>
    <w:rsid w:val="000178DB"/>
    <w:rsid w:val="00021247"/>
    <w:rsid w:val="000259C5"/>
    <w:rsid w:val="00026745"/>
    <w:rsid w:val="000277F2"/>
    <w:rsid w:val="000334C0"/>
    <w:rsid w:val="000357A9"/>
    <w:rsid w:val="000359AF"/>
    <w:rsid w:val="00036BFA"/>
    <w:rsid w:val="000379C4"/>
    <w:rsid w:val="0005553D"/>
    <w:rsid w:val="00055E6A"/>
    <w:rsid w:val="00056D2A"/>
    <w:rsid w:val="0005742C"/>
    <w:rsid w:val="00057D1B"/>
    <w:rsid w:val="0006148C"/>
    <w:rsid w:val="000618C8"/>
    <w:rsid w:val="000626EB"/>
    <w:rsid w:val="00062839"/>
    <w:rsid w:val="0006286F"/>
    <w:rsid w:val="00062BC6"/>
    <w:rsid w:val="00063A95"/>
    <w:rsid w:val="00063FE1"/>
    <w:rsid w:val="00065636"/>
    <w:rsid w:val="0006595C"/>
    <w:rsid w:val="00065C74"/>
    <w:rsid w:val="000704A9"/>
    <w:rsid w:val="00071BD7"/>
    <w:rsid w:val="000739F2"/>
    <w:rsid w:val="00075439"/>
    <w:rsid w:val="000830C3"/>
    <w:rsid w:val="0008321C"/>
    <w:rsid w:val="000839B8"/>
    <w:rsid w:val="00084CE9"/>
    <w:rsid w:val="00084F29"/>
    <w:rsid w:val="00091C0B"/>
    <w:rsid w:val="00097ACA"/>
    <w:rsid w:val="000A1AE9"/>
    <w:rsid w:val="000A39E6"/>
    <w:rsid w:val="000A5039"/>
    <w:rsid w:val="000A5AFD"/>
    <w:rsid w:val="000A74AC"/>
    <w:rsid w:val="000A7EDF"/>
    <w:rsid w:val="000C6B89"/>
    <w:rsid w:val="000C7684"/>
    <w:rsid w:val="000D2EC2"/>
    <w:rsid w:val="000D5841"/>
    <w:rsid w:val="000E09B2"/>
    <w:rsid w:val="000E2154"/>
    <w:rsid w:val="000F5CCA"/>
    <w:rsid w:val="00101D13"/>
    <w:rsid w:val="0010271A"/>
    <w:rsid w:val="001027AB"/>
    <w:rsid w:val="0010413F"/>
    <w:rsid w:val="00105782"/>
    <w:rsid w:val="00106AD3"/>
    <w:rsid w:val="00115276"/>
    <w:rsid w:val="00123963"/>
    <w:rsid w:val="0012746E"/>
    <w:rsid w:val="00134F8B"/>
    <w:rsid w:val="00135D90"/>
    <w:rsid w:val="00136629"/>
    <w:rsid w:val="00144C17"/>
    <w:rsid w:val="00145C82"/>
    <w:rsid w:val="00160221"/>
    <w:rsid w:val="001630E1"/>
    <w:rsid w:val="00163465"/>
    <w:rsid w:val="001664F0"/>
    <w:rsid w:val="00166862"/>
    <w:rsid w:val="00166DE3"/>
    <w:rsid w:val="001673D2"/>
    <w:rsid w:val="00167F5C"/>
    <w:rsid w:val="00172A27"/>
    <w:rsid w:val="00173614"/>
    <w:rsid w:val="001742A7"/>
    <w:rsid w:val="00174A50"/>
    <w:rsid w:val="0017588C"/>
    <w:rsid w:val="001773FE"/>
    <w:rsid w:val="001818A7"/>
    <w:rsid w:val="001829C8"/>
    <w:rsid w:val="001867C6"/>
    <w:rsid w:val="00186C38"/>
    <w:rsid w:val="00186EC6"/>
    <w:rsid w:val="001909EF"/>
    <w:rsid w:val="00191DA2"/>
    <w:rsid w:val="00193788"/>
    <w:rsid w:val="00194469"/>
    <w:rsid w:val="00195E08"/>
    <w:rsid w:val="00197475"/>
    <w:rsid w:val="001974E1"/>
    <w:rsid w:val="001A1360"/>
    <w:rsid w:val="001A3085"/>
    <w:rsid w:val="001A371C"/>
    <w:rsid w:val="001A7857"/>
    <w:rsid w:val="001B030A"/>
    <w:rsid w:val="001B1FD2"/>
    <w:rsid w:val="001B77A4"/>
    <w:rsid w:val="001C4ECE"/>
    <w:rsid w:val="001C7500"/>
    <w:rsid w:val="001D3D44"/>
    <w:rsid w:val="001D6DAC"/>
    <w:rsid w:val="001E1F9F"/>
    <w:rsid w:val="001E61FB"/>
    <w:rsid w:val="001E753D"/>
    <w:rsid w:val="001F089B"/>
    <w:rsid w:val="001F0D1C"/>
    <w:rsid w:val="001F15F3"/>
    <w:rsid w:val="001F364A"/>
    <w:rsid w:val="0020372A"/>
    <w:rsid w:val="002063B0"/>
    <w:rsid w:val="0021202E"/>
    <w:rsid w:val="00217F5D"/>
    <w:rsid w:val="00223ADF"/>
    <w:rsid w:val="0022607D"/>
    <w:rsid w:val="002277D5"/>
    <w:rsid w:val="00232AD8"/>
    <w:rsid w:val="002408C5"/>
    <w:rsid w:val="00242033"/>
    <w:rsid w:val="002422CC"/>
    <w:rsid w:val="0024426E"/>
    <w:rsid w:val="0024602F"/>
    <w:rsid w:val="00250B0E"/>
    <w:rsid w:val="002521AD"/>
    <w:rsid w:val="00252548"/>
    <w:rsid w:val="00256018"/>
    <w:rsid w:val="00262AEF"/>
    <w:rsid w:val="002631A0"/>
    <w:rsid w:val="00263DC9"/>
    <w:rsid w:val="002655B8"/>
    <w:rsid w:val="00270119"/>
    <w:rsid w:val="00273671"/>
    <w:rsid w:val="00282CEB"/>
    <w:rsid w:val="00282D8C"/>
    <w:rsid w:val="00282E74"/>
    <w:rsid w:val="002845FC"/>
    <w:rsid w:val="002A4156"/>
    <w:rsid w:val="002A55A7"/>
    <w:rsid w:val="002A6DFF"/>
    <w:rsid w:val="002A6E10"/>
    <w:rsid w:val="002A7824"/>
    <w:rsid w:val="002B0F61"/>
    <w:rsid w:val="002B6452"/>
    <w:rsid w:val="002B6FF1"/>
    <w:rsid w:val="002C1CC5"/>
    <w:rsid w:val="002C277F"/>
    <w:rsid w:val="002C66D9"/>
    <w:rsid w:val="002C7047"/>
    <w:rsid w:val="002D3791"/>
    <w:rsid w:val="002E030B"/>
    <w:rsid w:val="002E354C"/>
    <w:rsid w:val="002E3D34"/>
    <w:rsid w:val="002E6D1F"/>
    <w:rsid w:val="002F3D8C"/>
    <w:rsid w:val="002F4D90"/>
    <w:rsid w:val="00300AC3"/>
    <w:rsid w:val="0030355D"/>
    <w:rsid w:val="00310C24"/>
    <w:rsid w:val="0031251F"/>
    <w:rsid w:val="00312DE7"/>
    <w:rsid w:val="00315AC6"/>
    <w:rsid w:val="00317136"/>
    <w:rsid w:val="00323756"/>
    <w:rsid w:val="00325946"/>
    <w:rsid w:val="00330EDB"/>
    <w:rsid w:val="00331499"/>
    <w:rsid w:val="00335FCB"/>
    <w:rsid w:val="00340601"/>
    <w:rsid w:val="00340C1A"/>
    <w:rsid w:val="00343D71"/>
    <w:rsid w:val="0034725D"/>
    <w:rsid w:val="003475D9"/>
    <w:rsid w:val="00353D19"/>
    <w:rsid w:val="0035769A"/>
    <w:rsid w:val="003613BC"/>
    <w:rsid w:val="003633D7"/>
    <w:rsid w:val="003658DD"/>
    <w:rsid w:val="00365B74"/>
    <w:rsid w:val="003660D4"/>
    <w:rsid w:val="00371172"/>
    <w:rsid w:val="00373CDA"/>
    <w:rsid w:val="003742A8"/>
    <w:rsid w:val="0037594A"/>
    <w:rsid w:val="003839F5"/>
    <w:rsid w:val="00391557"/>
    <w:rsid w:val="00391D7E"/>
    <w:rsid w:val="00395AA3"/>
    <w:rsid w:val="00396B4A"/>
    <w:rsid w:val="00396E7B"/>
    <w:rsid w:val="00396E95"/>
    <w:rsid w:val="003A2161"/>
    <w:rsid w:val="003A360F"/>
    <w:rsid w:val="003A363E"/>
    <w:rsid w:val="003A4238"/>
    <w:rsid w:val="003A4D6F"/>
    <w:rsid w:val="003A6D5E"/>
    <w:rsid w:val="003A721A"/>
    <w:rsid w:val="003B0D04"/>
    <w:rsid w:val="003B3685"/>
    <w:rsid w:val="003B3C68"/>
    <w:rsid w:val="003B4353"/>
    <w:rsid w:val="003B43F3"/>
    <w:rsid w:val="003C0693"/>
    <w:rsid w:val="003C08C0"/>
    <w:rsid w:val="003C5F90"/>
    <w:rsid w:val="003D17A3"/>
    <w:rsid w:val="003D21DD"/>
    <w:rsid w:val="003D4456"/>
    <w:rsid w:val="003D52A0"/>
    <w:rsid w:val="003E040B"/>
    <w:rsid w:val="003E2BF4"/>
    <w:rsid w:val="003E397B"/>
    <w:rsid w:val="003E4C1B"/>
    <w:rsid w:val="003E7732"/>
    <w:rsid w:val="003F3FF6"/>
    <w:rsid w:val="003F430F"/>
    <w:rsid w:val="003F5833"/>
    <w:rsid w:val="003F619E"/>
    <w:rsid w:val="003F6B8F"/>
    <w:rsid w:val="003F741C"/>
    <w:rsid w:val="00400B2B"/>
    <w:rsid w:val="00401614"/>
    <w:rsid w:val="00401B02"/>
    <w:rsid w:val="004067F0"/>
    <w:rsid w:val="004072A8"/>
    <w:rsid w:val="00413C0C"/>
    <w:rsid w:val="00413D35"/>
    <w:rsid w:val="00416375"/>
    <w:rsid w:val="0042307D"/>
    <w:rsid w:val="00423D52"/>
    <w:rsid w:val="00425433"/>
    <w:rsid w:val="00445B90"/>
    <w:rsid w:val="004463E0"/>
    <w:rsid w:val="0045206A"/>
    <w:rsid w:val="00462472"/>
    <w:rsid w:val="0046768C"/>
    <w:rsid w:val="004733A9"/>
    <w:rsid w:val="00474699"/>
    <w:rsid w:val="00476E4C"/>
    <w:rsid w:val="0048680F"/>
    <w:rsid w:val="004873D3"/>
    <w:rsid w:val="00494834"/>
    <w:rsid w:val="00497AE0"/>
    <w:rsid w:val="004A2348"/>
    <w:rsid w:val="004A28DB"/>
    <w:rsid w:val="004A6F1F"/>
    <w:rsid w:val="004B13A1"/>
    <w:rsid w:val="004B4687"/>
    <w:rsid w:val="004B7105"/>
    <w:rsid w:val="004B7901"/>
    <w:rsid w:val="004C21FC"/>
    <w:rsid w:val="004C299C"/>
    <w:rsid w:val="004C3184"/>
    <w:rsid w:val="004D13E3"/>
    <w:rsid w:val="004D31B5"/>
    <w:rsid w:val="004D32AA"/>
    <w:rsid w:val="004E0083"/>
    <w:rsid w:val="004E2911"/>
    <w:rsid w:val="004E3D6C"/>
    <w:rsid w:val="004E5C5B"/>
    <w:rsid w:val="004E5D3F"/>
    <w:rsid w:val="004E64C7"/>
    <w:rsid w:val="004F06FD"/>
    <w:rsid w:val="004F1FD5"/>
    <w:rsid w:val="004F3F0F"/>
    <w:rsid w:val="004F4686"/>
    <w:rsid w:val="004F560A"/>
    <w:rsid w:val="004F7CEC"/>
    <w:rsid w:val="00510E51"/>
    <w:rsid w:val="005110EE"/>
    <w:rsid w:val="0051775D"/>
    <w:rsid w:val="00523AF4"/>
    <w:rsid w:val="005271B2"/>
    <w:rsid w:val="0053300C"/>
    <w:rsid w:val="00533707"/>
    <w:rsid w:val="005401A7"/>
    <w:rsid w:val="0054416C"/>
    <w:rsid w:val="005451AC"/>
    <w:rsid w:val="00546B56"/>
    <w:rsid w:val="00550470"/>
    <w:rsid w:val="00551231"/>
    <w:rsid w:val="00554BDE"/>
    <w:rsid w:val="00554E33"/>
    <w:rsid w:val="00561483"/>
    <w:rsid w:val="0056224D"/>
    <w:rsid w:val="005666A9"/>
    <w:rsid w:val="0056768A"/>
    <w:rsid w:val="00570A3A"/>
    <w:rsid w:val="005716A7"/>
    <w:rsid w:val="005751B3"/>
    <w:rsid w:val="00575ABF"/>
    <w:rsid w:val="00577B86"/>
    <w:rsid w:val="00583CB9"/>
    <w:rsid w:val="005A0A27"/>
    <w:rsid w:val="005A1CEB"/>
    <w:rsid w:val="005A3577"/>
    <w:rsid w:val="005A3D65"/>
    <w:rsid w:val="005B1F78"/>
    <w:rsid w:val="005B40A1"/>
    <w:rsid w:val="005B48F6"/>
    <w:rsid w:val="005B55F9"/>
    <w:rsid w:val="005B69DE"/>
    <w:rsid w:val="005C295E"/>
    <w:rsid w:val="005D73E0"/>
    <w:rsid w:val="005D7E96"/>
    <w:rsid w:val="005E37AD"/>
    <w:rsid w:val="0060142A"/>
    <w:rsid w:val="006014F4"/>
    <w:rsid w:val="00601DE4"/>
    <w:rsid w:val="0060525D"/>
    <w:rsid w:val="00612758"/>
    <w:rsid w:val="006141B9"/>
    <w:rsid w:val="00617108"/>
    <w:rsid w:val="006205B9"/>
    <w:rsid w:val="00620ACB"/>
    <w:rsid w:val="00620EC5"/>
    <w:rsid w:val="00621EA9"/>
    <w:rsid w:val="00622FC9"/>
    <w:rsid w:val="00632225"/>
    <w:rsid w:val="00633A3A"/>
    <w:rsid w:val="0063470B"/>
    <w:rsid w:val="00635CCA"/>
    <w:rsid w:val="00640F00"/>
    <w:rsid w:val="00643EE4"/>
    <w:rsid w:val="00652577"/>
    <w:rsid w:val="006538C2"/>
    <w:rsid w:val="00653D34"/>
    <w:rsid w:val="00653DB7"/>
    <w:rsid w:val="0065589A"/>
    <w:rsid w:val="00655931"/>
    <w:rsid w:val="00656A14"/>
    <w:rsid w:val="0066282A"/>
    <w:rsid w:val="00662E88"/>
    <w:rsid w:val="00664856"/>
    <w:rsid w:val="006660D2"/>
    <w:rsid w:val="00667394"/>
    <w:rsid w:val="00670C84"/>
    <w:rsid w:val="00673854"/>
    <w:rsid w:val="00676984"/>
    <w:rsid w:val="00681EA4"/>
    <w:rsid w:val="00686366"/>
    <w:rsid w:val="00690328"/>
    <w:rsid w:val="0069091A"/>
    <w:rsid w:val="00692465"/>
    <w:rsid w:val="006A1C39"/>
    <w:rsid w:val="006A2C3A"/>
    <w:rsid w:val="006A37B8"/>
    <w:rsid w:val="006A46D3"/>
    <w:rsid w:val="006A5CBA"/>
    <w:rsid w:val="006B2703"/>
    <w:rsid w:val="006C0CC3"/>
    <w:rsid w:val="006C2891"/>
    <w:rsid w:val="006C326D"/>
    <w:rsid w:val="006D0EE0"/>
    <w:rsid w:val="006D7C6E"/>
    <w:rsid w:val="006E1605"/>
    <w:rsid w:val="006E1B08"/>
    <w:rsid w:val="006E2202"/>
    <w:rsid w:val="006E2AA3"/>
    <w:rsid w:val="006E4154"/>
    <w:rsid w:val="006E464D"/>
    <w:rsid w:val="006F57FA"/>
    <w:rsid w:val="006F713E"/>
    <w:rsid w:val="00700719"/>
    <w:rsid w:val="00700871"/>
    <w:rsid w:val="00705BCE"/>
    <w:rsid w:val="00705CDC"/>
    <w:rsid w:val="007064A4"/>
    <w:rsid w:val="00707BB1"/>
    <w:rsid w:val="00711E3E"/>
    <w:rsid w:val="007141FF"/>
    <w:rsid w:val="007164DB"/>
    <w:rsid w:val="007224D6"/>
    <w:rsid w:val="00723049"/>
    <w:rsid w:val="00723753"/>
    <w:rsid w:val="00724001"/>
    <w:rsid w:val="00730D65"/>
    <w:rsid w:val="00733341"/>
    <w:rsid w:val="0073777D"/>
    <w:rsid w:val="00740583"/>
    <w:rsid w:val="0074493F"/>
    <w:rsid w:val="00745E2E"/>
    <w:rsid w:val="00750CE7"/>
    <w:rsid w:val="0075643B"/>
    <w:rsid w:val="007564C7"/>
    <w:rsid w:val="00756629"/>
    <w:rsid w:val="00761CB0"/>
    <w:rsid w:val="00767CDC"/>
    <w:rsid w:val="0077011B"/>
    <w:rsid w:val="00771B04"/>
    <w:rsid w:val="00774D7D"/>
    <w:rsid w:val="00777085"/>
    <w:rsid w:val="007800E4"/>
    <w:rsid w:val="00781D2C"/>
    <w:rsid w:val="00786B97"/>
    <w:rsid w:val="00787617"/>
    <w:rsid w:val="00790841"/>
    <w:rsid w:val="0079313D"/>
    <w:rsid w:val="007958BB"/>
    <w:rsid w:val="00796312"/>
    <w:rsid w:val="0079746A"/>
    <w:rsid w:val="007A3E6F"/>
    <w:rsid w:val="007B2A8F"/>
    <w:rsid w:val="007B44F5"/>
    <w:rsid w:val="007B4581"/>
    <w:rsid w:val="007B5414"/>
    <w:rsid w:val="007C10F0"/>
    <w:rsid w:val="007C2CC6"/>
    <w:rsid w:val="007C78A8"/>
    <w:rsid w:val="007D4084"/>
    <w:rsid w:val="007D5F3A"/>
    <w:rsid w:val="007D6CE9"/>
    <w:rsid w:val="007E0F3C"/>
    <w:rsid w:val="007E2BFF"/>
    <w:rsid w:val="007E6AEE"/>
    <w:rsid w:val="007E72DA"/>
    <w:rsid w:val="007E7B59"/>
    <w:rsid w:val="007F178D"/>
    <w:rsid w:val="007F1B3A"/>
    <w:rsid w:val="0080263D"/>
    <w:rsid w:val="008041F0"/>
    <w:rsid w:val="00804BD9"/>
    <w:rsid w:val="008052A8"/>
    <w:rsid w:val="00805CB8"/>
    <w:rsid w:val="00807E8F"/>
    <w:rsid w:val="00810062"/>
    <w:rsid w:val="00812F06"/>
    <w:rsid w:val="0081481F"/>
    <w:rsid w:val="0081630F"/>
    <w:rsid w:val="0081637F"/>
    <w:rsid w:val="008168C4"/>
    <w:rsid w:val="00824813"/>
    <w:rsid w:val="00825276"/>
    <w:rsid w:val="0082669C"/>
    <w:rsid w:val="00826E2F"/>
    <w:rsid w:val="00830CC6"/>
    <w:rsid w:val="008343E8"/>
    <w:rsid w:val="00845002"/>
    <w:rsid w:val="0085330D"/>
    <w:rsid w:val="0085370A"/>
    <w:rsid w:val="00854F5E"/>
    <w:rsid w:val="00855166"/>
    <w:rsid w:val="00861D9F"/>
    <w:rsid w:val="00862678"/>
    <w:rsid w:val="0086589C"/>
    <w:rsid w:val="0086626D"/>
    <w:rsid w:val="0087392F"/>
    <w:rsid w:val="00873AF4"/>
    <w:rsid w:val="0088457A"/>
    <w:rsid w:val="00891AC2"/>
    <w:rsid w:val="00894046"/>
    <w:rsid w:val="0089580E"/>
    <w:rsid w:val="008A1D45"/>
    <w:rsid w:val="008A296E"/>
    <w:rsid w:val="008A4CB1"/>
    <w:rsid w:val="008A6381"/>
    <w:rsid w:val="008B2ABB"/>
    <w:rsid w:val="008B4CA2"/>
    <w:rsid w:val="008B4FFB"/>
    <w:rsid w:val="008B6EB1"/>
    <w:rsid w:val="008C00E6"/>
    <w:rsid w:val="008C340E"/>
    <w:rsid w:val="008C4D06"/>
    <w:rsid w:val="008D1643"/>
    <w:rsid w:val="008D23FB"/>
    <w:rsid w:val="008D3EF0"/>
    <w:rsid w:val="008E0E2D"/>
    <w:rsid w:val="008E4659"/>
    <w:rsid w:val="008F487D"/>
    <w:rsid w:val="008F65C7"/>
    <w:rsid w:val="008F6A76"/>
    <w:rsid w:val="00900475"/>
    <w:rsid w:val="009044E5"/>
    <w:rsid w:val="009139CD"/>
    <w:rsid w:val="0091555B"/>
    <w:rsid w:val="0092022D"/>
    <w:rsid w:val="00922A68"/>
    <w:rsid w:val="0092617E"/>
    <w:rsid w:val="00930001"/>
    <w:rsid w:val="009306A4"/>
    <w:rsid w:val="00932C19"/>
    <w:rsid w:val="00933F93"/>
    <w:rsid w:val="00946044"/>
    <w:rsid w:val="00947346"/>
    <w:rsid w:val="00950A67"/>
    <w:rsid w:val="009541B5"/>
    <w:rsid w:val="00954591"/>
    <w:rsid w:val="00960423"/>
    <w:rsid w:val="009606C8"/>
    <w:rsid w:val="00961994"/>
    <w:rsid w:val="00961E68"/>
    <w:rsid w:val="0096345F"/>
    <w:rsid w:val="00964944"/>
    <w:rsid w:val="00973D5E"/>
    <w:rsid w:val="00975C73"/>
    <w:rsid w:val="0097643E"/>
    <w:rsid w:val="009777AC"/>
    <w:rsid w:val="00983667"/>
    <w:rsid w:val="00983BCD"/>
    <w:rsid w:val="00983CB7"/>
    <w:rsid w:val="00984091"/>
    <w:rsid w:val="009915D6"/>
    <w:rsid w:val="009A2834"/>
    <w:rsid w:val="009A3FEF"/>
    <w:rsid w:val="009A5C9F"/>
    <w:rsid w:val="009A761D"/>
    <w:rsid w:val="009B0659"/>
    <w:rsid w:val="009B17DD"/>
    <w:rsid w:val="009B3D55"/>
    <w:rsid w:val="009B585C"/>
    <w:rsid w:val="009C08CA"/>
    <w:rsid w:val="009C2DA5"/>
    <w:rsid w:val="009C3F78"/>
    <w:rsid w:val="009C4FC2"/>
    <w:rsid w:val="009C67FE"/>
    <w:rsid w:val="009C75D8"/>
    <w:rsid w:val="009D37B7"/>
    <w:rsid w:val="009D5306"/>
    <w:rsid w:val="009D64C6"/>
    <w:rsid w:val="009E10C2"/>
    <w:rsid w:val="009E42D9"/>
    <w:rsid w:val="009F022D"/>
    <w:rsid w:val="009F2FF0"/>
    <w:rsid w:val="009F391C"/>
    <w:rsid w:val="009F3CA2"/>
    <w:rsid w:val="009F3FE2"/>
    <w:rsid w:val="009F494A"/>
    <w:rsid w:val="00A01C19"/>
    <w:rsid w:val="00A14E8E"/>
    <w:rsid w:val="00A1504E"/>
    <w:rsid w:val="00A20B44"/>
    <w:rsid w:val="00A24BFA"/>
    <w:rsid w:val="00A24D19"/>
    <w:rsid w:val="00A2551B"/>
    <w:rsid w:val="00A263B9"/>
    <w:rsid w:val="00A274BD"/>
    <w:rsid w:val="00A27C99"/>
    <w:rsid w:val="00A31353"/>
    <w:rsid w:val="00A318CC"/>
    <w:rsid w:val="00A33D4E"/>
    <w:rsid w:val="00A34A87"/>
    <w:rsid w:val="00A34AC7"/>
    <w:rsid w:val="00A3535B"/>
    <w:rsid w:val="00A37723"/>
    <w:rsid w:val="00A40A54"/>
    <w:rsid w:val="00A41D0F"/>
    <w:rsid w:val="00A4234C"/>
    <w:rsid w:val="00A4353B"/>
    <w:rsid w:val="00A43BF8"/>
    <w:rsid w:val="00A45916"/>
    <w:rsid w:val="00A50E4C"/>
    <w:rsid w:val="00A53693"/>
    <w:rsid w:val="00A549DA"/>
    <w:rsid w:val="00A5608C"/>
    <w:rsid w:val="00A571CB"/>
    <w:rsid w:val="00A7112F"/>
    <w:rsid w:val="00A73212"/>
    <w:rsid w:val="00A76731"/>
    <w:rsid w:val="00A7742B"/>
    <w:rsid w:val="00A805AC"/>
    <w:rsid w:val="00A80953"/>
    <w:rsid w:val="00A81A9C"/>
    <w:rsid w:val="00A8254E"/>
    <w:rsid w:val="00A837A1"/>
    <w:rsid w:val="00A87A0A"/>
    <w:rsid w:val="00A91E05"/>
    <w:rsid w:val="00A92D01"/>
    <w:rsid w:val="00A93308"/>
    <w:rsid w:val="00A9722C"/>
    <w:rsid w:val="00A97EA2"/>
    <w:rsid w:val="00AA70CD"/>
    <w:rsid w:val="00AB0B2A"/>
    <w:rsid w:val="00AB1167"/>
    <w:rsid w:val="00AB1CD7"/>
    <w:rsid w:val="00AB1E80"/>
    <w:rsid w:val="00AB2044"/>
    <w:rsid w:val="00AB28BD"/>
    <w:rsid w:val="00AC3572"/>
    <w:rsid w:val="00AC6A2A"/>
    <w:rsid w:val="00AD02BC"/>
    <w:rsid w:val="00AD279C"/>
    <w:rsid w:val="00AD4B6D"/>
    <w:rsid w:val="00AD6A1E"/>
    <w:rsid w:val="00AD6D32"/>
    <w:rsid w:val="00AE710C"/>
    <w:rsid w:val="00AF18EC"/>
    <w:rsid w:val="00AF59D9"/>
    <w:rsid w:val="00AF769D"/>
    <w:rsid w:val="00B07457"/>
    <w:rsid w:val="00B10D0A"/>
    <w:rsid w:val="00B111EA"/>
    <w:rsid w:val="00B11C1F"/>
    <w:rsid w:val="00B12EC8"/>
    <w:rsid w:val="00B15CE5"/>
    <w:rsid w:val="00B23601"/>
    <w:rsid w:val="00B23750"/>
    <w:rsid w:val="00B2497E"/>
    <w:rsid w:val="00B27190"/>
    <w:rsid w:val="00B34521"/>
    <w:rsid w:val="00B36B24"/>
    <w:rsid w:val="00B43537"/>
    <w:rsid w:val="00B45A08"/>
    <w:rsid w:val="00B54387"/>
    <w:rsid w:val="00B55207"/>
    <w:rsid w:val="00B56A8D"/>
    <w:rsid w:val="00B62368"/>
    <w:rsid w:val="00B62B68"/>
    <w:rsid w:val="00B65A54"/>
    <w:rsid w:val="00B65AA7"/>
    <w:rsid w:val="00B7465A"/>
    <w:rsid w:val="00B7512B"/>
    <w:rsid w:val="00B75F2B"/>
    <w:rsid w:val="00B77C63"/>
    <w:rsid w:val="00B80311"/>
    <w:rsid w:val="00B841AC"/>
    <w:rsid w:val="00B84595"/>
    <w:rsid w:val="00B84F75"/>
    <w:rsid w:val="00B86DB3"/>
    <w:rsid w:val="00B872BE"/>
    <w:rsid w:val="00B872E3"/>
    <w:rsid w:val="00B9168B"/>
    <w:rsid w:val="00B91C04"/>
    <w:rsid w:val="00B955A1"/>
    <w:rsid w:val="00BA282D"/>
    <w:rsid w:val="00BA2975"/>
    <w:rsid w:val="00BB00B2"/>
    <w:rsid w:val="00BB1489"/>
    <w:rsid w:val="00BB1A1D"/>
    <w:rsid w:val="00BB35E7"/>
    <w:rsid w:val="00BB51E2"/>
    <w:rsid w:val="00BC30A1"/>
    <w:rsid w:val="00BC5EBF"/>
    <w:rsid w:val="00BC7ECB"/>
    <w:rsid w:val="00BD094F"/>
    <w:rsid w:val="00BD7E40"/>
    <w:rsid w:val="00BD7EFA"/>
    <w:rsid w:val="00BE3B9D"/>
    <w:rsid w:val="00BE3CA3"/>
    <w:rsid w:val="00BE5E86"/>
    <w:rsid w:val="00BF181E"/>
    <w:rsid w:val="00BF4937"/>
    <w:rsid w:val="00BF5913"/>
    <w:rsid w:val="00BF620C"/>
    <w:rsid w:val="00BF78E2"/>
    <w:rsid w:val="00C00B9C"/>
    <w:rsid w:val="00C03B1D"/>
    <w:rsid w:val="00C03B6E"/>
    <w:rsid w:val="00C05FAE"/>
    <w:rsid w:val="00C07890"/>
    <w:rsid w:val="00C10A45"/>
    <w:rsid w:val="00C13853"/>
    <w:rsid w:val="00C14EB3"/>
    <w:rsid w:val="00C23C00"/>
    <w:rsid w:val="00C25E9D"/>
    <w:rsid w:val="00C2691D"/>
    <w:rsid w:val="00C36E92"/>
    <w:rsid w:val="00C372C0"/>
    <w:rsid w:val="00C37304"/>
    <w:rsid w:val="00C41B74"/>
    <w:rsid w:val="00C4596D"/>
    <w:rsid w:val="00C50D9E"/>
    <w:rsid w:val="00C524F4"/>
    <w:rsid w:val="00C52613"/>
    <w:rsid w:val="00C539F4"/>
    <w:rsid w:val="00C53DAC"/>
    <w:rsid w:val="00C53F79"/>
    <w:rsid w:val="00C5439B"/>
    <w:rsid w:val="00C54A75"/>
    <w:rsid w:val="00C54BC3"/>
    <w:rsid w:val="00C54FF3"/>
    <w:rsid w:val="00C579E1"/>
    <w:rsid w:val="00C61F53"/>
    <w:rsid w:val="00C6773F"/>
    <w:rsid w:val="00C67CE5"/>
    <w:rsid w:val="00C758C0"/>
    <w:rsid w:val="00C77BB7"/>
    <w:rsid w:val="00C80F7D"/>
    <w:rsid w:val="00C855A4"/>
    <w:rsid w:val="00C86865"/>
    <w:rsid w:val="00C8775A"/>
    <w:rsid w:val="00C92603"/>
    <w:rsid w:val="00C95693"/>
    <w:rsid w:val="00C9631C"/>
    <w:rsid w:val="00C963B3"/>
    <w:rsid w:val="00C97408"/>
    <w:rsid w:val="00CA4862"/>
    <w:rsid w:val="00CA5021"/>
    <w:rsid w:val="00CB0E79"/>
    <w:rsid w:val="00CB286A"/>
    <w:rsid w:val="00CB531E"/>
    <w:rsid w:val="00CB63E1"/>
    <w:rsid w:val="00CB7A72"/>
    <w:rsid w:val="00CC2726"/>
    <w:rsid w:val="00CD05A4"/>
    <w:rsid w:val="00CD2F65"/>
    <w:rsid w:val="00CD3477"/>
    <w:rsid w:val="00CE08D0"/>
    <w:rsid w:val="00CE15D8"/>
    <w:rsid w:val="00CE3893"/>
    <w:rsid w:val="00CE645C"/>
    <w:rsid w:val="00CE6FEE"/>
    <w:rsid w:val="00CE76D1"/>
    <w:rsid w:val="00CF1F70"/>
    <w:rsid w:val="00CF335E"/>
    <w:rsid w:val="00CF5F0E"/>
    <w:rsid w:val="00CF6F6C"/>
    <w:rsid w:val="00CF71AD"/>
    <w:rsid w:val="00CF75C6"/>
    <w:rsid w:val="00CF779E"/>
    <w:rsid w:val="00D02D0A"/>
    <w:rsid w:val="00D02E7C"/>
    <w:rsid w:val="00D147ED"/>
    <w:rsid w:val="00D156C4"/>
    <w:rsid w:val="00D22686"/>
    <w:rsid w:val="00D237BC"/>
    <w:rsid w:val="00D24692"/>
    <w:rsid w:val="00D26BCF"/>
    <w:rsid w:val="00D3331D"/>
    <w:rsid w:val="00D343F0"/>
    <w:rsid w:val="00D449AB"/>
    <w:rsid w:val="00D4537C"/>
    <w:rsid w:val="00D47115"/>
    <w:rsid w:val="00D607C2"/>
    <w:rsid w:val="00D60A84"/>
    <w:rsid w:val="00D621C9"/>
    <w:rsid w:val="00D64D92"/>
    <w:rsid w:val="00D67702"/>
    <w:rsid w:val="00D67BE6"/>
    <w:rsid w:val="00D75171"/>
    <w:rsid w:val="00D759CE"/>
    <w:rsid w:val="00D760D4"/>
    <w:rsid w:val="00D7732F"/>
    <w:rsid w:val="00D806D8"/>
    <w:rsid w:val="00D91964"/>
    <w:rsid w:val="00D97A56"/>
    <w:rsid w:val="00DA1CAE"/>
    <w:rsid w:val="00DA2BFA"/>
    <w:rsid w:val="00DA3701"/>
    <w:rsid w:val="00DA4AB1"/>
    <w:rsid w:val="00DA795B"/>
    <w:rsid w:val="00DB079B"/>
    <w:rsid w:val="00DB4DE3"/>
    <w:rsid w:val="00DB7EB0"/>
    <w:rsid w:val="00DC2568"/>
    <w:rsid w:val="00DC3630"/>
    <w:rsid w:val="00DC4906"/>
    <w:rsid w:val="00DC5B60"/>
    <w:rsid w:val="00DD0579"/>
    <w:rsid w:val="00DD0D20"/>
    <w:rsid w:val="00DD3BBD"/>
    <w:rsid w:val="00DD4EA5"/>
    <w:rsid w:val="00DD5061"/>
    <w:rsid w:val="00DD5B05"/>
    <w:rsid w:val="00DD6ABF"/>
    <w:rsid w:val="00DD75CD"/>
    <w:rsid w:val="00DD79B0"/>
    <w:rsid w:val="00DE112E"/>
    <w:rsid w:val="00DE3D7A"/>
    <w:rsid w:val="00DE5CE2"/>
    <w:rsid w:val="00DE66A7"/>
    <w:rsid w:val="00DE7F49"/>
    <w:rsid w:val="00DF3421"/>
    <w:rsid w:val="00DF4121"/>
    <w:rsid w:val="00DF5C10"/>
    <w:rsid w:val="00E01E45"/>
    <w:rsid w:val="00E02812"/>
    <w:rsid w:val="00E0696E"/>
    <w:rsid w:val="00E06C04"/>
    <w:rsid w:val="00E11893"/>
    <w:rsid w:val="00E11D62"/>
    <w:rsid w:val="00E1564B"/>
    <w:rsid w:val="00E159BF"/>
    <w:rsid w:val="00E172F7"/>
    <w:rsid w:val="00E1736F"/>
    <w:rsid w:val="00E1757D"/>
    <w:rsid w:val="00E206DD"/>
    <w:rsid w:val="00E2474A"/>
    <w:rsid w:val="00E25610"/>
    <w:rsid w:val="00E26EAB"/>
    <w:rsid w:val="00E30A20"/>
    <w:rsid w:val="00E32DF8"/>
    <w:rsid w:val="00E40B34"/>
    <w:rsid w:val="00E41C73"/>
    <w:rsid w:val="00E5356B"/>
    <w:rsid w:val="00E5445A"/>
    <w:rsid w:val="00E54672"/>
    <w:rsid w:val="00E5508D"/>
    <w:rsid w:val="00E573B1"/>
    <w:rsid w:val="00E616F0"/>
    <w:rsid w:val="00E62739"/>
    <w:rsid w:val="00E62B68"/>
    <w:rsid w:val="00E63B35"/>
    <w:rsid w:val="00E66B5A"/>
    <w:rsid w:val="00E71A87"/>
    <w:rsid w:val="00E727D9"/>
    <w:rsid w:val="00E749E3"/>
    <w:rsid w:val="00E768AD"/>
    <w:rsid w:val="00E81BCA"/>
    <w:rsid w:val="00E82EDA"/>
    <w:rsid w:val="00E8541E"/>
    <w:rsid w:val="00E9343D"/>
    <w:rsid w:val="00EA215D"/>
    <w:rsid w:val="00EB0101"/>
    <w:rsid w:val="00EB2895"/>
    <w:rsid w:val="00EB323A"/>
    <w:rsid w:val="00EB67A7"/>
    <w:rsid w:val="00EB6EB6"/>
    <w:rsid w:val="00EB760E"/>
    <w:rsid w:val="00EC4313"/>
    <w:rsid w:val="00EC6525"/>
    <w:rsid w:val="00ED2B7C"/>
    <w:rsid w:val="00ED4F7F"/>
    <w:rsid w:val="00ED4F8D"/>
    <w:rsid w:val="00EE0494"/>
    <w:rsid w:val="00EE117C"/>
    <w:rsid w:val="00EE16B6"/>
    <w:rsid w:val="00EF0CF2"/>
    <w:rsid w:val="00EF1016"/>
    <w:rsid w:val="00EF6D64"/>
    <w:rsid w:val="00F00391"/>
    <w:rsid w:val="00F021E2"/>
    <w:rsid w:val="00F03BCB"/>
    <w:rsid w:val="00F04CC3"/>
    <w:rsid w:val="00F04D9C"/>
    <w:rsid w:val="00F0641A"/>
    <w:rsid w:val="00F123FB"/>
    <w:rsid w:val="00F20980"/>
    <w:rsid w:val="00F20EFE"/>
    <w:rsid w:val="00F21240"/>
    <w:rsid w:val="00F21381"/>
    <w:rsid w:val="00F24C10"/>
    <w:rsid w:val="00F315F3"/>
    <w:rsid w:val="00F32B82"/>
    <w:rsid w:val="00F35106"/>
    <w:rsid w:val="00F4218D"/>
    <w:rsid w:val="00F435E4"/>
    <w:rsid w:val="00F45D2E"/>
    <w:rsid w:val="00F55172"/>
    <w:rsid w:val="00F6026B"/>
    <w:rsid w:val="00F620F1"/>
    <w:rsid w:val="00F63B8D"/>
    <w:rsid w:val="00F66CD0"/>
    <w:rsid w:val="00F724E5"/>
    <w:rsid w:val="00F74A85"/>
    <w:rsid w:val="00F74F03"/>
    <w:rsid w:val="00F765C5"/>
    <w:rsid w:val="00F81415"/>
    <w:rsid w:val="00F856E9"/>
    <w:rsid w:val="00F873FC"/>
    <w:rsid w:val="00F92352"/>
    <w:rsid w:val="00FA3C24"/>
    <w:rsid w:val="00FA70BF"/>
    <w:rsid w:val="00FB4412"/>
    <w:rsid w:val="00FB46F0"/>
    <w:rsid w:val="00FC0768"/>
    <w:rsid w:val="00FC11B6"/>
    <w:rsid w:val="00FC5848"/>
    <w:rsid w:val="00FD385B"/>
    <w:rsid w:val="00FD7096"/>
    <w:rsid w:val="00FD7DB1"/>
    <w:rsid w:val="00FD7E2E"/>
    <w:rsid w:val="00FE273B"/>
    <w:rsid w:val="00FE29BC"/>
    <w:rsid w:val="00FE3D99"/>
    <w:rsid w:val="00FF1E6B"/>
    <w:rsid w:val="00FF279F"/>
    <w:rsid w:val="00FF51E8"/>
    <w:rsid w:val="00FF6780"/>
    <w:rsid w:val="010F0552"/>
    <w:rsid w:val="011329D3"/>
    <w:rsid w:val="01171186"/>
    <w:rsid w:val="011D0840"/>
    <w:rsid w:val="011D78AE"/>
    <w:rsid w:val="011E00B5"/>
    <w:rsid w:val="011E3AF5"/>
    <w:rsid w:val="012A4928"/>
    <w:rsid w:val="01340AE2"/>
    <w:rsid w:val="01405697"/>
    <w:rsid w:val="01456907"/>
    <w:rsid w:val="014976A0"/>
    <w:rsid w:val="015C17C0"/>
    <w:rsid w:val="016842C9"/>
    <w:rsid w:val="016F346A"/>
    <w:rsid w:val="01702627"/>
    <w:rsid w:val="01783D85"/>
    <w:rsid w:val="01873853"/>
    <w:rsid w:val="018773EC"/>
    <w:rsid w:val="018841CA"/>
    <w:rsid w:val="019C597A"/>
    <w:rsid w:val="01A03A4F"/>
    <w:rsid w:val="01A75904"/>
    <w:rsid w:val="01A907B7"/>
    <w:rsid w:val="01A90B8E"/>
    <w:rsid w:val="01C743A2"/>
    <w:rsid w:val="01D00747"/>
    <w:rsid w:val="01D23D77"/>
    <w:rsid w:val="01DB0CC9"/>
    <w:rsid w:val="01DE44F6"/>
    <w:rsid w:val="01E10A6D"/>
    <w:rsid w:val="01E1780B"/>
    <w:rsid w:val="01E41120"/>
    <w:rsid w:val="01E71180"/>
    <w:rsid w:val="01E77BEE"/>
    <w:rsid w:val="01EA4B85"/>
    <w:rsid w:val="01ED6321"/>
    <w:rsid w:val="01F74DB5"/>
    <w:rsid w:val="0202330B"/>
    <w:rsid w:val="02070CCA"/>
    <w:rsid w:val="0209253A"/>
    <w:rsid w:val="020F790C"/>
    <w:rsid w:val="02150167"/>
    <w:rsid w:val="021C2000"/>
    <w:rsid w:val="02215521"/>
    <w:rsid w:val="022C5A80"/>
    <w:rsid w:val="02436BA8"/>
    <w:rsid w:val="02437B74"/>
    <w:rsid w:val="024B0640"/>
    <w:rsid w:val="024B2998"/>
    <w:rsid w:val="02517C05"/>
    <w:rsid w:val="02647FA2"/>
    <w:rsid w:val="02654C5A"/>
    <w:rsid w:val="02706069"/>
    <w:rsid w:val="02787649"/>
    <w:rsid w:val="028A2470"/>
    <w:rsid w:val="029570D5"/>
    <w:rsid w:val="02981110"/>
    <w:rsid w:val="02A164F1"/>
    <w:rsid w:val="02A323B6"/>
    <w:rsid w:val="02A44DE3"/>
    <w:rsid w:val="02AA6CBC"/>
    <w:rsid w:val="02AB48D4"/>
    <w:rsid w:val="02AD74A7"/>
    <w:rsid w:val="02B820A2"/>
    <w:rsid w:val="02C167B1"/>
    <w:rsid w:val="02C64921"/>
    <w:rsid w:val="02C66D77"/>
    <w:rsid w:val="02D0613D"/>
    <w:rsid w:val="02D2627B"/>
    <w:rsid w:val="02D265ED"/>
    <w:rsid w:val="02DA6B1D"/>
    <w:rsid w:val="02DB0BD0"/>
    <w:rsid w:val="02DF5557"/>
    <w:rsid w:val="02E66B31"/>
    <w:rsid w:val="02EC6598"/>
    <w:rsid w:val="02FF5323"/>
    <w:rsid w:val="03034D08"/>
    <w:rsid w:val="03054189"/>
    <w:rsid w:val="03116497"/>
    <w:rsid w:val="0330015E"/>
    <w:rsid w:val="03304D38"/>
    <w:rsid w:val="0334635D"/>
    <w:rsid w:val="033C7A10"/>
    <w:rsid w:val="0346219A"/>
    <w:rsid w:val="034958B1"/>
    <w:rsid w:val="03574AA3"/>
    <w:rsid w:val="03575611"/>
    <w:rsid w:val="035A5EA0"/>
    <w:rsid w:val="03703278"/>
    <w:rsid w:val="03710A9A"/>
    <w:rsid w:val="03736871"/>
    <w:rsid w:val="03750DAF"/>
    <w:rsid w:val="03790286"/>
    <w:rsid w:val="037A1943"/>
    <w:rsid w:val="037C08E4"/>
    <w:rsid w:val="0381116F"/>
    <w:rsid w:val="03844EF2"/>
    <w:rsid w:val="038A40B4"/>
    <w:rsid w:val="038A5D17"/>
    <w:rsid w:val="03932568"/>
    <w:rsid w:val="039B53AE"/>
    <w:rsid w:val="03A031C4"/>
    <w:rsid w:val="03A15394"/>
    <w:rsid w:val="03B70B13"/>
    <w:rsid w:val="03C031D2"/>
    <w:rsid w:val="03CA6159"/>
    <w:rsid w:val="03CF0143"/>
    <w:rsid w:val="03D940EE"/>
    <w:rsid w:val="03E02175"/>
    <w:rsid w:val="03EB13E4"/>
    <w:rsid w:val="03F741E7"/>
    <w:rsid w:val="03FB29D5"/>
    <w:rsid w:val="04020C75"/>
    <w:rsid w:val="040B40E1"/>
    <w:rsid w:val="040D72D1"/>
    <w:rsid w:val="04106487"/>
    <w:rsid w:val="04132C74"/>
    <w:rsid w:val="041C0F50"/>
    <w:rsid w:val="042010F0"/>
    <w:rsid w:val="04216019"/>
    <w:rsid w:val="04266ED6"/>
    <w:rsid w:val="04272C7E"/>
    <w:rsid w:val="04297A57"/>
    <w:rsid w:val="042D12B1"/>
    <w:rsid w:val="04336B89"/>
    <w:rsid w:val="043819F3"/>
    <w:rsid w:val="043E6D61"/>
    <w:rsid w:val="044040F4"/>
    <w:rsid w:val="044D2740"/>
    <w:rsid w:val="04542A5D"/>
    <w:rsid w:val="04585A8B"/>
    <w:rsid w:val="045A2820"/>
    <w:rsid w:val="046200EF"/>
    <w:rsid w:val="04655950"/>
    <w:rsid w:val="046736EA"/>
    <w:rsid w:val="0467541C"/>
    <w:rsid w:val="046B6145"/>
    <w:rsid w:val="046C0BD4"/>
    <w:rsid w:val="04776C81"/>
    <w:rsid w:val="047A192B"/>
    <w:rsid w:val="047A3324"/>
    <w:rsid w:val="047D0309"/>
    <w:rsid w:val="047F5C7F"/>
    <w:rsid w:val="048707FB"/>
    <w:rsid w:val="049B5A51"/>
    <w:rsid w:val="049F0E2C"/>
    <w:rsid w:val="04A36B65"/>
    <w:rsid w:val="04A918BC"/>
    <w:rsid w:val="04AD4A1F"/>
    <w:rsid w:val="04AE5E3F"/>
    <w:rsid w:val="04AE6FC2"/>
    <w:rsid w:val="04B34F96"/>
    <w:rsid w:val="04BC0624"/>
    <w:rsid w:val="04BD5B8F"/>
    <w:rsid w:val="04C0574D"/>
    <w:rsid w:val="04CE5AB2"/>
    <w:rsid w:val="04E36FED"/>
    <w:rsid w:val="04F375BD"/>
    <w:rsid w:val="04F76DEF"/>
    <w:rsid w:val="04F87901"/>
    <w:rsid w:val="04FE52A6"/>
    <w:rsid w:val="05014155"/>
    <w:rsid w:val="05032F9C"/>
    <w:rsid w:val="050372C2"/>
    <w:rsid w:val="050774D4"/>
    <w:rsid w:val="051E2627"/>
    <w:rsid w:val="05234559"/>
    <w:rsid w:val="05372082"/>
    <w:rsid w:val="05452C6A"/>
    <w:rsid w:val="054A1787"/>
    <w:rsid w:val="05556088"/>
    <w:rsid w:val="05591693"/>
    <w:rsid w:val="055F1886"/>
    <w:rsid w:val="056748D2"/>
    <w:rsid w:val="056A77DD"/>
    <w:rsid w:val="056B10F6"/>
    <w:rsid w:val="056D2E7D"/>
    <w:rsid w:val="057023DA"/>
    <w:rsid w:val="057632D1"/>
    <w:rsid w:val="05767A5C"/>
    <w:rsid w:val="05782413"/>
    <w:rsid w:val="05791C40"/>
    <w:rsid w:val="058B57D3"/>
    <w:rsid w:val="058D3611"/>
    <w:rsid w:val="05A7707C"/>
    <w:rsid w:val="05B25A51"/>
    <w:rsid w:val="05B34024"/>
    <w:rsid w:val="05BA54C3"/>
    <w:rsid w:val="05BC2B39"/>
    <w:rsid w:val="05C171C2"/>
    <w:rsid w:val="05CC0260"/>
    <w:rsid w:val="05DA0ADE"/>
    <w:rsid w:val="05DD43A7"/>
    <w:rsid w:val="05E029A5"/>
    <w:rsid w:val="05E20BC3"/>
    <w:rsid w:val="05E537C2"/>
    <w:rsid w:val="05E66CB7"/>
    <w:rsid w:val="05F82144"/>
    <w:rsid w:val="05F928F8"/>
    <w:rsid w:val="060047D8"/>
    <w:rsid w:val="0609042C"/>
    <w:rsid w:val="060E7F2A"/>
    <w:rsid w:val="061A0D30"/>
    <w:rsid w:val="06275FBE"/>
    <w:rsid w:val="06292B4D"/>
    <w:rsid w:val="062D3580"/>
    <w:rsid w:val="062E1D6B"/>
    <w:rsid w:val="062F3A10"/>
    <w:rsid w:val="06321CA7"/>
    <w:rsid w:val="0632264C"/>
    <w:rsid w:val="063A215F"/>
    <w:rsid w:val="06475461"/>
    <w:rsid w:val="06527E2F"/>
    <w:rsid w:val="06582F2A"/>
    <w:rsid w:val="06595547"/>
    <w:rsid w:val="066466EB"/>
    <w:rsid w:val="066C3EB1"/>
    <w:rsid w:val="066E3B75"/>
    <w:rsid w:val="067B6CBA"/>
    <w:rsid w:val="06825EF7"/>
    <w:rsid w:val="069822D9"/>
    <w:rsid w:val="069A5C01"/>
    <w:rsid w:val="069E6492"/>
    <w:rsid w:val="06A527F0"/>
    <w:rsid w:val="06AC171C"/>
    <w:rsid w:val="06AE3964"/>
    <w:rsid w:val="06B324FE"/>
    <w:rsid w:val="06B37627"/>
    <w:rsid w:val="06B62719"/>
    <w:rsid w:val="06C504CE"/>
    <w:rsid w:val="06C53D03"/>
    <w:rsid w:val="06C93C5E"/>
    <w:rsid w:val="06CA5C18"/>
    <w:rsid w:val="06CC0BD5"/>
    <w:rsid w:val="06D25D71"/>
    <w:rsid w:val="06D34459"/>
    <w:rsid w:val="06D974E8"/>
    <w:rsid w:val="06ED1021"/>
    <w:rsid w:val="06F657D0"/>
    <w:rsid w:val="06F70BF4"/>
    <w:rsid w:val="07171A4A"/>
    <w:rsid w:val="071A4FFB"/>
    <w:rsid w:val="071D128A"/>
    <w:rsid w:val="07322DF6"/>
    <w:rsid w:val="073711F4"/>
    <w:rsid w:val="07376561"/>
    <w:rsid w:val="073830AF"/>
    <w:rsid w:val="07386D26"/>
    <w:rsid w:val="073B4F81"/>
    <w:rsid w:val="073D03C6"/>
    <w:rsid w:val="073F714A"/>
    <w:rsid w:val="074A16CE"/>
    <w:rsid w:val="074D7D48"/>
    <w:rsid w:val="075563C9"/>
    <w:rsid w:val="075F5104"/>
    <w:rsid w:val="07710F49"/>
    <w:rsid w:val="077146A3"/>
    <w:rsid w:val="07793CB7"/>
    <w:rsid w:val="078305C4"/>
    <w:rsid w:val="07894BBF"/>
    <w:rsid w:val="0789741D"/>
    <w:rsid w:val="078C12A5"/>
    <w:rsid w:val="078C35BD"/>
    <w:rsid w:val="0797656A"/>
    <w:rsid w:val="07A1237B"/>
    <w:rsid w:val="07AB31B8"/>
    <w:rsid w:val="07AF5CBD"/>
    <w:rsid w:val="07B36280"/>
    <w:rsid w:val="07BB756C"/>
    <w:rsid w:val="07C67BEF"/>
    <w:rsid w:val="07C74585"/>
    <w:rsid w:val="07CC25FA"/>
    <w:rsid w:val="07CD1F3F"/>
    <w:rsid w:val="07DA287C"/>
    <w:rsid w:val="07DB6A3D"/>
    <w:rsid w:val="07DD5F86"/>
    <w:rsid w:val="07DF3AF2"/>
    <w:rsid w:val="07E62052"/>
    <w:rsid w:val="07EF6B7D"/>
    <w:rsid w:val="07FB705E"/>
    <w:rsid w:val="08131D78"/>
    <w:rsid w:val="08177C1C"/>
    <w:rsid w:val="081866CE"/>
    <w:rsid w:val="082309F3"/>
    <w:rsid w:val="08254B89"/>
    <w:rsid w:val="082B0362"/>
    <w:rsid w:val="082B5213"/>
    <w:rsid w:val="082F38AB"/>
    <w:rsid w:val="08324C29"/>
    <w:rsid w:val="08326169"/>
    <w:rsid w:val="083971E1"/>
    <w:rsid w:val="083F05BD"/>
    <w:rsid w:val="08432B91"/>
    <w:rsid w:val="084714FA"/>
    <w:rsid w:val="085A36BF"/>
    <w:rsid w:val="085D5A5A"/>
    <w:rsid w:val="086462CD"/>
    <w:rsid w:val="08740339"/>
    <w:rsid w:val="087414B6"/>
    <w:rsid w:val="08761325"/>
    <w:rsid w:val="087613FE"/>
    <w:rsid w:val="08827DF0"/>
    <w:rsid w:val="08974F89"/>
    <w:rsid w:val="08A42035"/>
    <w:rsid w:val="08B920A2"/>
    <w:rsid w:val="08BB321D"/>
    <w:rsid w:val="08C517A0"/>
    <w:rsid w:val="08CC0CA3"/>
    <w:rsid w:val="08CC1768"/>
    <w:rsid w:val="08D144DB"/>
    <w:rsid w:val="08D151C5"/>
    <w:rsid w:val="08D31432"/>
    <w:rsid w:val="08D37234"/>
    <w:rsid w:val="08D6248A"/>
    <w:rsid w:val="08DD60B9"/>
    <w:rsid w:val="08DE318F"/>
    <w:rsid w:val="08E4633B"/>
    <w:rsid w:val="08F36BAC"/>
    <w:rsid w:val="08F809AA"/>
    <w:rsid w:val="08F92DB8"/>
    <w:rsid w:val="09012991"/>
    <w:rsid w:val="09092DE7"/>
    <w:rsid w:val="091453FE"/>
    <w:rsid w:val="091974DF"/>
    <w:rsid w:val="09236970"/>
    <w:rsid w:val="092905B8"/>
    <w:rsid w:val="09321279"/>
    <w:rsid w:val="09342126"/>
    <w:rsid w:val="093B5F8B"/>
    <w:rsid w:val="09436560"/>
    <w:rsid w:val="094F59DA"/>
    <w:rsid w:val="09575089"/>
    <w:rsid w:val="0959066A"/>
    <w:rsid w:val="095B255C"/>
    <w:rsid w:val="095C2537"/>
    <w:rsid w:val="095F1305"/>
    <w:rsid w:val="095F7975"/>
    <w:rsid w:val="09623EF2"/>
    <w:rsid w:val="09637742"/>
    <w:rsid w:val="096C5835"/>
    <w:rsid w:val="097125A0"/>
    <w:rsid w:val="09804807"/>
    <w:rsid w:val="09827358"/>
    <w:rsid w:val="09853C90"/>
    <w:rsid w:val="098C17B9"/>
    <w:rsid w:val="09936FC3"/>
    <w:rsid w:val="09946D5C"/>
    <w:rsid w:val="09A64E42"/>
    <w:rsid w:val="09AD59EE"/>
    <w:rsid w:val="09AE12C5"/>
    <w:rsid w:val="09B12A44"/>
    <w:rsid w:val="09C32654"/>
    <w:rsid w:val="09C53944"/>
    <w:rsid w:val="09C702DD"/>
    <w:rsid w:val="09CB0B0D"/>
    <w:rsid w:val="09D05E45"/>
    <w:rsid w:val="09D3769D"/>
    <w:rsid w:val="09DA1166"/>
    <w:rsid w:val="09E366DE"/>
    <w:rsid w:val="09E5583C"/>
    <w:rsid w:val="09ED02CC"/>
    <w:rsid w:val="09EE3AD3"/>
    <w:rsid w:val="09EE6657"/>
    <w:rsid w:val="09F66D64"/>
    <w:rsid w:val="0A031F61"/>
    <w:rsid w:val="0A0B5B41"/>
    <w:rsid w:val="0A0C347C"/>
    <w:rsid w:val="0A127B6F"/>
    <w:rsid w:val="0A222A1C"/>
    <w:rsid w:val="0A29722D"/>
    <w:rsid w:val="0A2C16CF"/>
    <w:rsid w:val="0A362975"/>
    <w:rsid w:val="0A384148"/>
    <w:rsid w:val="0A3A7D09"/>
    <w:rsid w:val="0A3D797F"/>
    <w:rsid w:val="0A437D58"/>
    <w:rsid w:val="0A492346"/>
    <w:rsid w:val="0A4D0BCF"/>
    <w:rsid w:val="0A4F0699"/>
    <w:rsid w:val="0A566443"/>
    <w:rsid w:val="0A621193"/>
    <w:rsid w:val="0A634F6F"/>
    <w:rsid w:val="0A6D6118"/>
    <w:rsid w:val="0A6E1714"/>
    <w:rsid w:val="0A707775"/>
    <w:rsid w:val="0A744864"/>
    <w:rsid w:val="0A7B0AEE"/>
    <w:rsid w:val="0A7F0818"/>
    <w:rsid w:val="0A81023E"/>
    <w:rsid w:val="0A840B51"/>
    <w:rsid w:val="0A93351A"/>
    <w:rsid w:val="0A974E90"/>
    <w:rsid w:val="0AA3430A"/>
    <w:rsid w:val="0AB24423"/>
    <w:rsid w:val="0AB90A56"/>
    <w:rsid w:val="0ABC1246"/>
    <w:rsid w:val="0ABD7E7A"/>
    <w:rsid w:val="0AC811C3"/>
    <w:rsid w:val="0AC8329E"/>
    <w:rsid w:val="0ACE2920"/>
    <w:rsid w:val="0ADC5956"/>
    <w:rsid w:val="0ADD4B41"/>
    <w:rsid w:val="0ADE3BB0"/>
    <w:rsid w:val="0ADF714A"/>
    <w:rsid w:val="0AE51545"/>
    <w:rsid w:val="0AEC1707"/>
    <w:rsid w:val="0AEF3257"/>
    <w:rsid w:val="0AF6400E"/>
    <w:rsid w:val="0B0750F0"/>
    <w:rsid w:val="0B09151A"/>
    <w:rsid w:val="0B0D61B5"/>
    <w:rsid w:val="0B181B0D"/>
    <w:rsid w:val="0B185FC3"/>
    <w:rsid w:val="0B1A38DA"/>
    <w:rsid w:val="0B397DE7"/>
    <w:rsid w:val="0B3F6ED7"/>
    <w:rsid w:val="0B4E68F3"/>
    <w:rsid w:val="0B5A6679"/>
    <w:rsid w:val="0B5B7494"/>
    <w:rsid w:val="0B5D2FEC"/>
    <w:rsid w:val="0B752406"/>
    <w:rsid w:val="0B752A71"/>
    <w:rsid w:val="0B781007"/>
    <w:rsid w:val="0B8B4E56"/>
    <w:rsid w:val="0B974136"/>
    <w:rsid w:val="0B9A53DA"/>
    <w:rsid w:val="0BAA094B"/>
    <w:rsid w:val="0BB95620"/>
    <w:rsid w:val="0BC46F87"/>
    <w:rsid w:val="0BC97E2A"/>
    <w:rsid w:val="0BD453CF"/>
    <w:rsid w:val="0BDB1723"/>
    <w:rsid w:val="0BE46C37"/>
    <w:rsid w:val="0BE47AEA"/>
    <w:rsid w:val="0BF31B2B"/>
    <w:rsid w:val="0BF735AB"/>
    <w:rsid w:val="0BFE6929"/>
    <w:rsid w:val="0C06165F"/>
    <w:rsid w:val="0C1B38AD"/>
    <w:rsid w:val="0C1D2405"/>
    <w:rsid w:val="0C272CEB"/>
    <w:rsid w:val="0C3211CF"/>
    <w:rsid w:val="0C3F1F4B"/>
    <w:rsid w:val="0C4E53DC"/>
    <w:rsid w:val="0C520F4C"/>
    <w:rsid w:val="0C5307CD"/>
    <w:rsid w:val="0C547855"/>
    <w:rsid w:val="0C564C94"/>
    <w:rsid w:val="0C623E5B"/>
    <w:rsid w:val="0C631E72"/>
    <w:rsid w:val="0C640BA5"/>
    <w:rsid w:val="0C83191D"/>
    <w:rsid w:val="0C8B2068"/>
    <w:rsid w:val="0C945B0C"/>
    <w:rsid w:val="0C9F3036"/>
    <w:rsid w:val="0CA1108E"/>
    <w:rsid w:val="0CA627DE"/>
    <w:rsid w:val="0CA92FCB"/>
    <w:rsid w:val="0CAC6A0C"/>
    <w:rsid w:val="0CCB0863"/>
    <w:rsid w:val="0CCB5BE0"/>
    <w:rsid w:val="0CCE325B"/>
    <w:rsid w:val="0CCF611E"/>
    <w:rsid w:val="0CD02B56"/>
    <w:rsid w:val="0CD528C7"/>
    <w:rsid w:val="0CD65E68"/>
    <w:rsid w:val="0CE65050"/>
    <w:rsid w:val="0CF01379"/>
    <w:rsid w:val="0CF04C03"/>
    <w:rsid w:val="0CFD51A3"/>
    <w:rsid w:val="0D011728"/>
    <w:rsid w:val="0D094F4C"/>
    <w:rsid w:val="0D0A3016"/>
    <w:rsid w:val="0D112C42"/>
    <w:rsid w:val="0D142DA3"/>
    <w:rsid w:val="0D1611BE"/>
    <w:rsid w:val="0D1F7808"/>
    <w:rsid w:val="0D232094"/>
    <w:rsid w:val="0D2B69AC"/>
    <w:rsid w:val="0D3F3238"/>
    <w:rsid w:val="0D403D50"/>
    <w:rsid w:val="0D5930B4"/>
    <w:rsid w:val="0D6C37CA"/>
    <w:rsid w:val="0D6D52FB"/>
    <w:rsid w:val="0D804A00"/>
    <w:rsid w:val="0D804AF7"/>
    <w:rsid w:val="0D886CDF"/>
    <w:rsid w:val="0D8A2318"/>
    <w:rsid w:val="0D8C3B39"/>
    <w:rsid w:val="0D8D2BB1"/>
    <w:rsid w:val="0D947909"/>
    <w:rsid w:val="0D9C1F69"/>
    <w:rsid w:val="0DA51B8A"/>
    <w:rsid w:val="0DA731A8"/>
    <w:rsid w:val="0DA77AA8"/>
    <w:rsid w:val="0DAB5E3E"/>
    <w:rsid w:val="0DB5208C"/>
    <w:rsid w:val="0DC96F2A"/>
    <w:rsid w:val="0DCD21C8"/>
    <w:rsid w:val="0DCF3F5F"/>
    <w:rsid w:val="0DDE1014"/>
    <w:rsid w:val="0DE10940"/>
    <w:rsid w:val="0DE36AA8"/>
    <w:rsid w:val="0DE538B8"/>
    <w:rsid w:val="0DF50F71"/>
    <w:rsid w:val="0DF80FE8"/>
    <w:rsid w:val="0DF8136C"/>
    <w:rsid w:val="0E1D4B14"/>
    <w:rsid w:val="0E297F0A"/>
    <w:rsid w:val="0E351ED5"/>
    <w:rsid w:val="0E494D17"/>
    <w:rsid w:val="0E497B32"/>
    <w:rsid w:val="0E500971"/>
    <w:rsid w:val="0E5C0B54"/>
    <w:rsid w:val="0E6200BA"/>
    <w:rsid w:val="0E911295"/>
    <w:rsid w:val="0E92229F"/>
    <w:rsid w:val="0EB74FB6"/>
    <w:rsid w:val="0EBA3E96"/>
    <w:rsid w:val="0EBD00B9"/>
    <w:rsid w:val="0EBD14BB"/>
    <w:rsid w:val="0EC11770"/>
    <w:rsid w:val="0ECE7C05"/>
    <w:rsid w:val="0EDA4193"/>
    <w:rsid w:val="0EE36FFE"/>
    <w:rsid w:val="0EE471DF"/>
    <w:rsid w:val="0EEF4888"/>
    <w:rsid w:val="0EF86BAF"/>
    <w:rsid w:val="0EFF695E"/>
    <w:rsid w:val="0F0A266B"/>
    <w:rsid w:val="0F0E72E0"/>
    <w:rsid w:val="0F19183D"/>
    <w:rsid w:val="0F2335AB"/>
    <w:rsid w:val="0F250BAF"/>
    <w:rsid w:val="0F262023"/>
    <w:rsid w:val="0F26508B"/>
    <w:rsid w:val="0F2817A1"/>
    <w:rsid w:val="0F2A0028"/>
    <w:rsid w:val="0F303C1E"/>
    <w:rsid w:val="0F362667"/>
    <w:rsid w:val="0F3C7401"/>
    <w:rsid w:val="0F3E3E38"/>
    <w:rsid w:val="0F402224"/>
    <w:rsid w:val="0F451577"/>
    <w:rsid w:val="0F4F4996"/>
    <w:rsid w:val="0F5229B3"/>
    <w:rsid w:val="0F58009F"/>
    <w:rsid w:val="0F612436"/>
    <w:rsid w:val="0F686957"/>
    <w:rsid w:val="0F694AA9"/>
    <w:rsid w:val="0F6956E4"/>
    <w:rsid w:val="0F81737E"/>
    <w:rsid w:val="0F872E0F"/>
    <w:rsid w:val="0FA062F3"/>
    <w:rsid w:val="0FAE784A"/>
    <w:rsid w:val="0FB22494"/>
    <w:rsid w:val="0FB41949"/>
    <w:rsid w:val="0FB90369"/>
    <w:rsid w:val="0FBC5D75"/>
    <w:rsid w:val="0FC475B0"/>
    <w:rsid w:val="0FCB4D59"/>
    <w:rsid w:val="0FCD6509"/>
    <w:rsid w:val="0FCE27E7"/>
    <w:rsid w:val="0FD82F98"/>
    <w:rsid w:val="0FE035A6"/>
    <w:rsid w:val="0FE231CA"/>
    <w:rsid w:val="0FE82539"/>
    <w:rsid w:val="0FF45F0D"/>
    <w:rsid w:val="0FFC4CE5"/>
    <w:rsid w:val="0FFD2047"/>
    <w:rsid w:val="101677BE"/>
    <w:rsid w:val="101773DB"/>
    <w:rsid w:val="102612F5"/>
    <w:rsid w:val="102F73C2"/>
    <w:rsid w:val="10374854"/>
    <w:rsid w:val="103B4A6E"/>
    <w:rsid w:val="10500BE0"/>
    <w:rsid w:val="105110FF"/>
    <w:rsid w:val="10592370"/>
    <w:rsid w:val="105F0F86"/>
    <w:rsid w:val="10672A05"/>
    <w:rsid w:val="10785AA8"/>
    <w:rsid w:val="107A607D"/>
    <w:rsid w:val="107D5524"/>
    <w:rsid w:val="108816F7"/>
    <w:rsid w:val="10925381"/>
    <w:rsid w:val="10A16005"/>
    <w:rsid w:val="10A446AE"/>
    <w:rsid w:val="10B5541F"/>
    <w:rsid w:val="10C27421"/>
    <w:rsid w:val="10E155EE"/>
    <w:rsid w:val="10E24DDC"/>
    <w:rsid w:val="10E66CBA"/>
    <w:rsid w:val="10EA6828"/>
    <w:rsid w:val="10EC452A"/>
    <w:rsid w:val="10EF4A7E"/>
    <w:rsid w:val="10F31B4F"/>
    <w:rsid w:val="10F35DD7"/>
    <w:rsid w:val="10F4276D"/>
    <w:rsid w:val="10FA4B0D"/>
    <w:rsid w:val="10FC408A"/>
    <w:rsid w:val="10FF6D29"/>
    <w:rsid w:val="110E3A82"/>
    <w:rsid w:val="11132A39"/>
    <w:rsid w:val="1117761D"/>
    <w:rsid w:val="11196308"/>
    <w:rsid w:val="111C3718"/>
    <w:rsid w:val="11222B03"/>
    <w:rsid w:val="11297EBD"/>
    <w:rsid w:val="11324747"/>
    <w:rsid w:val="11365503"/>
    <w:rsid w:val="11427DE1"/>
    <w:rsid w:val="1147189A"/>
    <w:rsid w:val="114A7560"/>
    <w:rsid w:val="114B4B74"/>
    <w:rsid w:val="114E04E2"/>
    <w:rsid w:val="11506F7F"/>
    <w:rsid w:val="115D5315"/>
    <w:rsid w:val="11673533"/>
    <w:rsid w:val="11683BE9"/>
    <w:rsid w:val="116A14FD"/>
    <w:rsid w:val="11765A51"/>
    <w:rsid w:val="11783DD5"/>
    <w:rsid w:val="117D7A64"/>
    <w:rsid w:val="118273A1"/>
    <w:rsid w:val="118B349C"/>
    <w:rsid w:val="11A030D6"/>
    <w:rsid w:val="11B408EE"/>
    <w:rsid w:val="11B45EBA"/>
    <w:rsid w:val="11B54E0F"/>
    <w:rsid w:val="11C8237D"/>
    <w:rsid w:val="11CD1B5E"/>
    <w:rsid w:val="11D41AF6"/>
    <w:rsid w:val="11D55DA8"/>
    <w:rsid w:val="11DE01E3"/>
    <w:rsid w:val="11E331E0"/>
    <w:rsid w:val="11F00300"/>
    <w:rsid w:val="11F934CC"/>
    <w:rsid w:val="11FD0BCA"/>
    <w:rsid w:val="1205755A"/>
    <w:rsid w:val="120D4DF6"/>
    <w:rsid w:val="1214783D"/>
    <w:rsid w:val="12191EC2"/>
    <w:rsid w:val="122901DE"/>
    <w:rsid w:val="1229525E"/>
    <w:rsid w:val="1232201D"/>
    <w:rsid w:val="123477BF"/>
    <w:rsid w:val="123B5BA0"/>
    <w:rsid w:val="124720AA"/>
    <w:rsid w:val="124C0A08"/>
    <w:rsid w:val="124D16D2"/>
    <w:rsid w:val="12544FD8"/>
    <w:rsid w:val="125A788A"/>
    <w:rsid w:val="125B0AC3"/>
    <w:rsid w:val="125C2979"/>
    <w:rsid w:val="125D114D"/>
    <w:rsid w:val="125F2891"/>
    <w:rsid w:val="1269054F"/>
    <w:rsid w:val="12691ED8"/>
    <w:rsid w:val="126A0311"/>
    <w:rsid w:val="127316B6"/>
    <w:rsid w:val="12784A53"/>
    <w:rsid w:val="1288245E"/>
    <w:rsid w:val="128B3B27"/>
    <w:rsid w:val="1291433D"/>
    <w:rsid w:val="129220B8"/>
    <w:rsid w:val="12937CB3"/>
    <w:rsid w:val="12952467"/>
    <w:rsid w:val="129A7DC3"/>
    <w:rsid w:val="129D78EB"/>
    <w:rsid w:val="129E39A6"/>
    <w:rsid w:val="12A80A90"/>
    <w:rsid w:val="12AC62D3"/>
    <w:rsid w:val="12B80C15"/>
    <w:rsid w:val="12BE2ADA"/>
    <w:rsid w:val="12C43FAF"/>
    <w:rsid w:val="12CE5301"/>
    <w:rsid w:val="12D17696"/>
    <w:rsid w:val="12D41CD1"/>
    <w:rsid w:val="12DE050E"/>
    <w:rsid w:val="12E65846"/>
    <w:rsid w:val="12E73C34"/>
    <w:rsid w:val="12EE7A34"/>
    <w:rsid w:val="12F40DF6"/>
    <w:rsid w:val="12F57336"/>
    <w:rsid w:val="12F65C29"/>
    <w:rsid w:val="12FD3485"/>
    <w:rsid w:val="13022974"/>
    <w:rsid w:val="13033C0C"/>
    <w:rsid w:val="1306576C"/>
    <w:rsid w:val="130E26E1"/>
    <w:rsid w:val="131A1ECE"/>
    <w:rsid w:val="131A31F0"/>
    <w:rsid w:val="131D7B8F"/>
    <w:rsid w:val="131E5414"/>
    <w:rsid w:val="13226DF7"/>
    <w:rsid w:val="13236E43"/>
    <w:rsid w:val="13283B41"/>
    <w:rsid w:val="132F480C"/>
    <w:rsid w:val="133005E0"/>
    <w:rsid w:val="13393182"/>
    <w:rsid w:val="134145B5"/>
    <w:rsid w:val="134625FD"/>
    <w:rsid w:val="134A1A56"/>
    <w:rsid w:val="13526C9F"/>
    <w:rsid w:val="1353235A"/>
    <w:rsid w:val="136B4542"/>
    <w:rsid w:val="137A2A6A"/>
    <w:rsid w:val="13966FD3"/>
    <w:rsid w:val="13A041CC"/>
    <w:rsid w:val="13A15104"/>
    <w:rsid w:val="13A51648"/>
    <w:rsid w:val="13A66E07"/>
    <w:rsid w:val="13B0617B"/>
    <w:rsid w:val="13B32590"/>
    <w:rsid w:val="13C32C46"/>
    <w:rsid w:val="13C72E82"/>
    <w:rsid w:val="13C74753"/>
    <w:rsid w:val="13CF6522"/>
    <w:rsid w:val="13D1738A"/>
    <w:rsid w:val="13D43765"/>
    <w:rsid w:val="13D521F9"/>
    <w:rsid w:val="13D78968"/>
    <w:rsid w:val="13DB6AF6"/>
    <w:rsid w:val="13EB31F1"/>
    <w:rsid w:val="13ED31BA"/>
    <w:rsid w:val="13F4549E"/>
    <w:rsid w:val="140B2C94"/>
    <w:rsid w:val="140D0883"/>
    <w:rsid w:val="140D56A0"/>
    <w:rsid w:val="1410457B"/>
    <w:rsid w:val="141131A0"/>
    <w:rsid w:val="14122E98"/>
    <w:rsid w:val="1414340A"/>
    <w:rsid w:val="14162F2D"/>
    <w:rsid w:val="14176A23"/>
    <w:rsid w:val="141A121C"/>
    <w:rsid w:val="142B4CEC"/>
    <w:rsid w:val="142B5F52"/>
    <w:rsid w:val="142C7C2A"/>
    <w:rsid w:val="143A03C2"/>
    <w:rsid w:val="144168A3"/>
    <w:rsid w:val="144A0B11"/>
    <w:rsid w:val="144B56EF"/>
    <w:rsid w:val="144C008F"/>
    <w:rsid w:val="144C59B5"/>
    <w:rsid w:val="144D46EF"/>
    <w:rsid w:val="144F7241"/>
    <w:rsid w:val="1458637E"/>
    <w:rsid w:val="14680762"/>
    <w:rsid w:val="146B69E4"/>
    <w:rsid w:val="146F5296"/>
    <w:rsid w:val="14782755"/>
    <w:rsid w:val="147F611E"/>
    <w:rsid w:val="14801919"/>
    <w:rsid w:val="14861714"/>
    <w:rsid w:val="1492637A"/>
    <w:rsid w:val="14983A4A"/>
    <w:rsid w:val="14A94FED"/>
    <w:rsid w:val="14A9504A"/>
    <w:rsid w:val="14AB3FC0"/>
    <w:rsid w:val="14AE4E20"/>
    <w:rsid w:val="14B05AE3"/>
    <w:rsid w:val="14B247CF"/>
    <w:rsid w:val="14B63EC6"/>
    <w:rsid w:val="14BB3D85"/>
    <w:rsid w:val="14C111AC"/>
    <w:rsid w:val="14C87271"/>
    <w:rsid w:val="14C9149D"/>
    <w:rsid w:val="14C91B58"/>
    <w:rsid w:val="14D62DCD"/>
    <w:rsid w:val="14D6585D"/>
    <w:rsid w:val="14E21AEC"/>
    <w:rsid w:val="14EB5121"/>
    <w:rsid w:val="14ED1AF1"/>
    <w:rsid w:val="14EF4729"/>
    <w:rsid w:val="14FA61A0"/>
    <w:rsid w:val="15050DB6"/>
    <w:rsid w:val="15054273"/>
    <w:rsid w:val="150B7290"/>
    <w:rsid w:val="150D49E0"/>
    <w:rsid w:val="15135019"/>
    <w:rsid w:val="151625F0"/>
    <w:rsid w:val="151725C0"/>
    <w:rsid w:val="15227D0B"/>
    <w:rsid w:val="15256486"/>
    <w:rsid w:val="15277D13"/>
    <w:rsid w:val="15344EF4"/>
    <w:rsid w:val="15374C81"/>
    <w:rsid w:val="153D64D6"/>
    <w:rsid w:val="154532F3"/>
    <w:rsid w:val="154630B6"/>
    <w:rsid w:val="154A0E69"/>
    <w:rsid w:val="155F0F2F"/>
    <w:rsid w:val="156170C6"/>
    <w:rsid w:val="15643FF0"/>
    <w:rsid w:val="15726376"/>
    <w:rsid w:val="15831973"/>
    <w:rsid w:val="158E0D42"/>
    <w:rsid w:val="158E1DA9"/>
    <w:rsid w:val="1592589C"/>
    <w:rsid w:val="159769BC"/>
    <w:rsid w:val="159A5864"/>
    <w:rsid w:val="159B697B"/>
    <w:rsid w:val="159F5416"/>
    <w:rsid w:val="15A54F38"/>
    <w:rsid w:val="15A602F2"/>
    <w:rsid w:val="15A912C8"/>
    <w:rsid w:val="15A97536"/>
    <w:rsid w:val="15B06493"/>
    <w:rsid w:val="15B32753"/>
    <w:rsid w:val="15B63097"/>
    <w:rsid w:val="15C34D2D"/>
    <w:rsid w:val="15C70747"/>
    <w:rsid w:val="15CF072B"/>
    <w:rsid w:val="15D565F9"/>
    <w:rsid w:val="15D90D6D"/>
    <w:rsid w:val="15DD3E84"/>
    <w:rsid w:val="15E04E1F"/>
    <w:rsid w:val="15E503B5"/>
    <w:rsid w:val="15E50ECA"/>
    <w:rsid w:val="15E77567"/>
    <w:rsid w:val="15E917E8"/>
    <w:rsid w:val="15EA62E9"/>
    <w:rsid w:val="15FC1C8E"/>
    <w:rsid w:val="15FE2D6C"/>
    <w:rsid w:val="16123768"/>
    <w:rsid w:val="1617097C"/>
    <w:rsid w:val="16184C36"/>
    <w:rsid w:val="161C3E21"/>
    <w:rsid w:val="16200801"/>
    <w:rsid w:val="162674E6"/>
    <w:rsid w:val="162D6022"/>
    <w:rsid w:val="16385C65"/>
    <w:rsid w:val="163C02B5"/>
    <w:rsid w:val="163C0349"/>
    <w:rsid w:val="164D199F"/>
    <w:rsid w:val="164D5E99"/>
    <w:rsid w:val="165C683C"/>
    <w:rsid w:val="166164A5"/>
    <w:rsid w:val="16625CB6"/>
    <w:rsid w:val="1676111C"/>
    <w:rsid w:val="167F411B"/>
    <w:rsid w:val="167F4EFC"/>
    <w:rsid w:val="1685774E"/>
    <w:rsid w:val="16875C9E"/>
    <w:rsid w:val="16894593"/>
    <w:rsid w:val="168E1F79"/>
    <w:rsid w:val="168F0799"/>
    <w:rsid w:val="169110E8"/>
    <w:rsid w:val="169644A9"/>
    <w:rsid w:val="169A7B3B"/>
    <w:rsid w:val="16AC6366"/>
    <w:rsid w:val="16B107C7"/>
    <w:rsid w:val="16B5338C"/>
    <w:rsid w:val="16B8722B"/>
    <w:rsid w:val="16BB4731"/>
    <w:rsid w:val="16BF6881"/>
    <w:rsid w:val="16C5250B"/>
    <w:rsid w:val="16C70099"/>
    <w:rsid w:val="16C87A82"/>
    <w:rsid w:val="16CB3BCC"/>
    <w:rsid w:val="16CD620C"/>
    <w:rsid w:val="16CD6F5D"/>
    <w:rsid w:val="16D9579A"/>
    <w:rsid w:val="16ED61F6"/>
    <w:rsid w:val="16F11E7F"/>
    <w:rsid w:val="16F36502"/>
    <w:rsid w:val="16F8500B"/>
    <w:rsid w:val="16FC56A3"/>
    <w:rsid w:val="16FD3BD1"/>
    <w:rsid w:val="171152DE"/>
    <w:rsid w:val="17180376"/>
    <w:rsid w:val="17297264"/>
    <w:rsid w:val="172A45AF"/>
    <w:rsid w:val="172B063D"/>
    <w:rsid w:val="17366025"/>
    <w:rsid w:val="173970B9"/>
    <w:rsid w:val="173C129F"/>
    <w:rsid w:val="173D5C8D"/>
    <w:rsid w:val="17414199"/>
    <w:rsid w:val="174677BB"/>
    <w:rsid w:val="174B21FD"/>
    <w:rsid w:val="174B7873"/>
    <w:rsid w:val="175005C5"/>
    <w:rsid w:val="17563CDB"/>
    <w:rsid w:val="17620EEE"/>
    <w:rsid w:val="17641D0C"/>
    <w:rsid w:val="17666B8B"/>
    <w:rsid w:val="17672AE0"/>
    <w:rsid w:val="17673B2D"/>
    <w:rsid w:val="176F7856"/>
    <w:rsid w:val="177DCED9"/>
    <w:rsid w:val="177E19D4"/>
    <w:rsid w:val="1780159D"/>
    <w:rsid w:val="178907EB"/>
    <w:rsid w:val="1789394D"/>
    <w:rsid w:val="1792438C"/>
    <w:rsid w:val="17950266"/>
    <w:rsid w:val="17964F50"/>
    <w:rsid w:val="179B410F"/>
    <w:rsid w:val="17A32EA2"/>
    <w:rsid w:val="17A3464C"/>
    <w:rsid w:val="17A42247"/>
    <w:rsid w:val="17AB0E90"/>
    <w:rsid w:val="17AE3DF9"/>
    <w:rsid w:val="17B17001"/>
    <w:rsid w:val="17B66C8C"/>
    <w:rsid w:val="17B7390A"/>
    <w:rsid w:val="17C27715"/>
    <w:rsid w:val="17CE4EE8"/>
    <w:rsid w:val="17D30995"/>
    <w:rsid w:val="17D365AD"/>
    <w:rsid w:val="17D51474"/>
    <w:rsid w:val="17D7DD0B"/>
    <w:rsid w:val="17E14BE0"/>
    <w:rsid w:val="17E9009B"/>
    <w:rsid w:val="17F04B0C"/>
    <w:rsid w:val="17F9514B"/>
    <w:rsid w:val="17FA028A"/>
    <w:rsid w:val="18052C62"/>
    <w:rsid w:val="18222D01"/>
    <w:rsid w:val="18233912"/>
    <w:rsid w:val="182F4000"/>
    <w:rsid w:val="18320EDA"/>
    <w:rsid w:val="1842371C"/>
    <w:rsid w:val="18465356"/>
    <w:rsid w:val="184675AA"/>
    <w:rsid w:val="184D75B5"/>
    <w:rsid w:val="184E57AD"/>
    <w:rsid w:val="18570F48"/>
    <w:rsid w:val="185D7F03"/>
    <w:rsid w:val="18651308"/>
    <w:rsid w:val="18691228"/>
    <w:rsid w:val="187D68BE"/>
    <w:rsid w:val="187E61D4"/>
    <w:rsid w:val="188405EE"/>
    <w:rsid w:val="18870B3C"/>
    <w:rsid w:val="188832E9"/>
    <w:rsid w:val="18887FCB"/>
    <w:rsid w:val="188D113E"/>
    <w:rsid w:val="188D2C31"/>
    <w:rsid w:val="189036CD"/>
    <w:rsid w:val="189221DA"/>
    <w:rsid w:val="189B0340"/>
    <w:rsid w:val="18AB5F50"/>
    <w:rsid w:val="18C50DCA"/>
    <w:rsid w:val="18CC5680"/>
    <w:rsid w:val="18D351C1"/>
    <w:rsid w:val="18DA0C0E"/>
    <w:rsid w:val="18E273C9"/>
    <w:rsid w:val="18E31592"/>
    <w:rsid w:val="18E46383"/>
    <w:rsid w:val="18E77C11"/>
    <w:rsid w:val="18EA422C"/>
    <w:rsid w:val="18EB4D39"/>
    <w:rsid w:val="18EC1531"/>
    <w:rsid w:val="190469D4"/>
    <w:rsid w:val="190C148B"/>
    <w:rsid w:val="1915664F"/>
    <w:rsid w:val="191B1AFF"/>
    <w:rsid w:val="19286A05"/>
    <w:rsid w:val="192D6677"/>
    <w:rsid w:val="193619AF"/>
    <w:rsid w:val="19377763"/>
    <w:rsid w:val="193A1063"/>
    <w:rsid w:val="193D169B"/>
    <w:rsid w:val="19483488"/>
    <w:rsid w:val="19541E21"/>
    <w:rsid w:val="195B2677"/>
    <w:rsid w:val="19615618"/>
    <w:rsid w:val="19726221"/>
    <w:rsid w:val="19774296"/>
    <w:rsid w:val="197A5974"/>
    <w:rsid w:val="19882C6F"/>
    <w:rsid w:val="198C7D58"/>
    <w:rsid w:val="19915327"/>
    <w:rsid w:val="19AD174C"/>
    <w:rsid w:val="19B11F24"/>
    <w:rsid w:val="19BC0BC7"/>
    <w:rsid w:val="19C94B44"/>
    <w:rsid w:val="19CA6F8B"/>
    <w:rsid w:val="19CF0F3E"/>
    <w:rsid w:val="19D71FCC"/>
    <w:rsid w:val="19D72D72"/>
    <w:rsid w:val="19DE2F19"/>
    <w:rsid w:val="19E03225"/>
    <w:rsid w:val="19E172C1"/>
    <w:rsid w:val="19E222FF"/>
    <w:rsid w:val="19EFEA82"/>
    <w:rsid w:val="19F517D2"/>
    <w:rsid w:val="19F6750F"/>
    <w:rsid w:val="1A086052"/>
    <w:rsid w:val="1A0F270F"/>
    <w:rsid w:val="1A1B6926"/>
    <w:rsid w:val="1A1D0E5F"/>
    <w:rsid w:val="1A1E3D8E"/>
    <w:rsid w:val="1A1E46C9"/>
    <w:rsid w:val="1A255D45"/>
    <w:rsid w:val="1A2B3E01"/>
    <w:rsid w:val="1A2D042A"/>
    <w:rsid w:val="1A373710"/>
    <w:rsid w:val="1A3E3664"/>
    <w:rsid w:val="1A536F52"/>
    <w:rsid w:val="1A54786E"/>
    <w:rsid w:val="1A5E0937"/>
    <w:rsid w:val="1A647A89"/>
    <w:rsid w:val="1A661089"/>
    <w:rsid w:val="1A6747D5"/>
    <w:rsid w:val="1A6C4EB1"/>
    <w:rsid w:val="1A704D89"/>
    <w:rsid w:val="1A754AB6"/>
    <w:rsid w:val="1A7A3149"/>
    <w:rsid w:val="1A7F4F97"/>
    <w:rsid w:val="1A8E5240"/>
    <w:rsid w:val="1A953D98"/>
    <w:rsid w:val="1A9E55BE"/>
    <w:rsid w:val="1AAA5D29"/>
    <w:rsid w:val="1AAB017A"/>
    <w:rsid w:val="1AAE7847"/>
    <w:rsid w:val="1AB0305E"/>
    <w:rsid w:val="1AB12E86"/>
    <w:rsid w:val="1AB61DCB"/>
    <w:rsid w:val="1AC25B01"/>
    <w:rsid w:val="1AC34736"/>
    <w:rsid w:val="1AC807BD"/>
    <w:rsid w:val="1ACF4628"/>
    <w:rsid w:val="1AD305F7"/>
    <w:rsid w:val="1AD8671D"/>
    <w:rsid w:val="1ADE1CE9"/>
    <w:rsid w:val="1ADF68C2"/>
    <w:rsid w:val="1AE313A7"/>
    <w:rsid w:val="1AEB2657"/>
    <w:rsid w:val="1AED2AC5"/>
    <w:rsid w:val="1AF21441"/>
    <w:rsid w:val="1AF7720B"/>
    <w:rsid w:val="1AF86173"/>
    <w:rsid w:val="1B043150"/>
    <w:rsid w:val="1B0A0449"/>
    <w:rsid w:val="1B214344"/>
    <w:rsid w:val="1B222279"/>
    <w:rsid w:val="1B2618AA"/>
    <w:rsid w:val="1B282A1F"/>
    <w:rsid w:val="1B2C2900"/>
    <w:rsid w:val="1B2D1349"/>
    <w:rsid w:val="1B2E270D"/>
    <w:rsid w:val="1B317922"/>
    <w:rsid w:val="1B3A2711"/>
    <w:rsid w:val="1B3A6ABC"/>
    <w:rsid w:val="1B3A7D84"/>
    <w:rsid w:val="1B411CAD"/>
    <w:rsid w:val="1B472C60"/>
    <w:rsid w:val="1B481F20"/>
    <w:rsid w:val="1B525520"/>
    <w:rsid w:val="1B586C8A"/>
    <w:rsid w:val="1B5D658A"/>
    <w:rsid w:val="1B6810CA"/>
    <w:rsid w:val="1B84582A"/>
    <w:rsid w:val="1B847190"/>
    <w:rsid w:val="1B855D1B"/>
    <w:rsid w:val="1B901D24"/>
    <w:rsid w:val="1B9238C5"/>
    <w:rsid w:val="1BA330E6"/>
    <w:rsid w:val="1BAA12C3"/>
    <w:rsid w:val="1BB11D65"/>
    <w:rsid w:val="1BBB4785"/>
    <w:rsid w:val="1BC842A7"/>
    <w:rsid w:val="1BCE55CD"/>
    <w:rsid w:val="1BD22422"/>
    <w:rsid w:val="1BD758BF"/>
    <w:rsid w:val="1BD85C0F"/>
    <w:rsid w:val="1BE665A9"/>
    <w:rsid w:val="1BEA7134"/>
    <w:rsid w:val="1BEF752C"/>
    <w:rsid w:val="1BFDAC36"/>
    <w:rsid w:val="1C094D52"/>
    <w:rsid w:val="1C09660A"/>
    <w:rsid w:val="1C0C12F3"/>
    <w:rsid w:val="1C0C5FC4"/>
    <w:rsid w:val="1C121A2E"/>
    <w:rsid w:val="1C213CA2"/>
    <w:rsid w:val="1C2166E4"/>
    <w:rsid w:val="1C2A2415"/>
    <w:rsid w:val="1C2E35CB"/>
    <w:rsid w:val="1C3450D3"/>
    <w:rsid w:val="1C395626"/>
    <w:rsid w:val="1C411BAD"/>
    <w:rsid w:val="1C4214B8"/>
    <w:rsid w:val="1C446FD1"/>
    <w:rsid w:val="1C5E4C20"/>
    <w:rsid w:val="1C627F5F"/>
    <w:rsid w:val="1C694234"/>
    <w:rsid w:val="1C6B0791"/>
    <w:rsid w:val="1C6C0803"/>
    <w:rsid w:val="1C6C2F64"/>
    <w:rsid w:val="1C6C7F45"/>
    <w:rsid w:val="1C75055D"/>
    <w:rsid w:val="1C78079F"/>
    <w:rsid w:val="1C7A5560"/>
    <w:rsid w:val="1C8A71FF"/>
    <w:rsid w:val="1C8F5CE6"/>
    <w:rsid w:val="1CA33E9F"/>
    <w:rsid w:val="1CA607B5"/>
    <w:rsid w:val="1CA8077E"/>
    <w:rsid w:val="1CAD3C39"/>
    <w:rsid w:val="1CAD3C3E"/>
    <w:rsid w:val="1CC2215E"/>
    <w:rsid w:val="1CC94337"/>
    <w:rsid w:val="1CE449DF"/>
    <w:rsid w:val="1CED2ECD"/>
    <w:rsid w:val="1CF54195"/>
    <w:rsid w:val="1CF93E83"/>
    <w:rsid w:val="1CFA75FA"/>
    <w:rsid w:val="1D0761EB"/>
    <w:rsid w:val="1D0A56B3"/>
    <w:rsid w:val="1D0B255B"/>
    <w:rsid w:val="1D0C052F"/>
    <w:rsid w:val="1D16136B"/>
    <w:rsid w:val="1D1979CC"/>
    <w:rsid w:val="1D200E8A"/>
    <w:rsid w:val="1D24489F"/>
    <w:rsid w:val="1D276E31"/>
    <w:rsid w:val="1D324838"/>
    <w:rsid w:val="1D4A6C0C"/>
    <w:rsid w:val="1D4E0F11"/>
    <w:rsid w:val="1D544CD0"/>
    <w:rsid w:val="1D570664"/>
    <w:rsid w:val="1D5959B8"/>
    <w:rsid w:val="1D662D00"/>
    <w:rsid w:val="1D6715D4"/>
    <w:rsid w:val="1D731564"/>
    <w:rsid w:val="1D7F48D9"/>
    <w:rsid w:val="1D800675"/>
    <w:rsid w:val="1D883C26"/>
    <w:rsid w:val="1D901466"/>
    <w:rsid w:val="1D916CA9"/>
    <w:rsid w:val="1D986D58"/>
    <w:rsid w:val="1DA03981"/>
    <w:rsid w:val="1DA376A1"/>
    <w:rsid w:val="1DA436CC"/>
    <w:rsid w:val="1DAA548B"/>
    <w:rsid w:val="1DAE6C6E"/>
    <w:rsid w:val="1DB03F77"/>
    <w:rsid w:val="1DBB5F1A"/>
    <w:rsid w:val="1DBC6165"/>
    <w:rsid w:val="1DCB6C52"/>
    <w:rsid w:val="1DD332A5"/>
    <w:rsid w:val="1DE75E8F"/>
    <w:rsid w:val="1DE819A8"/>
    <w:rsid w:val="1DEC5DFD"/>
    <w:rsid w:val="1DEE6BE7"/>
    <w:rsid w:val="1DF00C8B"/>
    <w:rsid w:val="1DF57CC0"/>
    <w:rsid w:val="1E0631EA"/>
    <w:rsid w:val="1E07035C"/>
    <w:rsid w:val="1E0A72C5"/>
    <w:rsid w:val="1E0E1D8B"/>
    <w:rsid w:val="1E136084"/>
    <w:rsid w:val="1E152737"/>
    <w:rsid w:val="1E19443F"/>
    <w:rsid w:val="1E1A4A82"/>
    <w:rsid w:val="1E1E7098"/>
    <w:rsid w:val="1E414076"/>
    <w:rsid w:val="1E444ACF"/>
    <w:rsid w:val="1E4809CB"/>
    <w:rsid w:val="1E4D2C6C"/>
    <w:rsid w:val="1E560B35"/>
    <w:rsid w:val="1E583CD3"/>
    <w:rsid w:val="1E5F1645"/>
    <w:rsid w:val="1E5F35E9"/>
    <w:rsid w:val="1E6142BE"/>
    <w:rsid w:val="1E7A5305"/>
    <w:rsid w:val="1E7F64D3"/>
    <w:rsid w:val="1E820C8A"/>
    <w:rsid w:val="1E86624C"/>
    <w:rsid w:val="1E9021F3"/>
    <w:rsid w:val="1EA57CBE"/>
    <w:rsid w:val="1EA920DC"/>
    <w:rsid w:val="1EAA3A02"/>
    <w:rsid w:val="1EAC1876"/>
    <w:rsid w:val="1EB31215"/>
    <w:rsid w:val="1EB41EF0"/>
    <w:rsid w:val="1ECD4BAE"/>
    <w:rsid w:val="1ED627B8"/>
    <w:rsid w:val="1EDC0CE5"/>
    <w:rsid w:val="1EDC6549"/>
    <w:rsid w:val="1EDF41B2"/>
    <w:rsid w:val="1F0513B1"/>
    <w:rsid w:val="1F08738A"/>
    <w:rsid w:val="1F0C3501"/>
    <w:rsid w:val="1F1375E7"/>
    <w:rsid w:val="1F165715"/>
    <w:rsid w:val="1F1A0957"/>
    <w:rsid w:val="1F1B3A0D"/>
    <w:rsid w:val="1F1F3FCD"/>
    <w:rsid w:val="1F1F4D89"/>
    <w:rsid w:val="1F236E35"/>
    <w:rsid w:val="1F291469"/>
    <w:rsid w:val="1F2C754B"/>
    <w:rsid w:val="1F2F45FF"/>
    <w:rsid w:val="1F2F5EFC"/>
    <w:rsid w:val="1F332C99"/>
    <w:rsid w:val="1F3F43A2"/>
    <w:rsid w:val="1F46517B"/>
    <w:rsid w:val="1F490484"/>
    <w:rsid w:val="1F4E7A1B"/>
    <w:rsid w:val="1F50248D"/>
    <w:rsid w:val="1F537FE3"/>
    <w:rsid w:val="1F57217C"/>
    <w:rsid w:val="1F677E03"/>
    <w:rsid w:val="1F727F37"/>
    <w:rsid w:val="1F7D37A4"/>
    <w:rsid w:val="1F8320D0"/>
    <w:rsid w:val="1F9920A5"/>
    <w:rsid w:val="1F9D0854"/>
    <w:rsid w:val="1FA0216D"/>
    <w:rsid w:val="1FAD225B"/>
    <w:rsid w:val="1FB02549"/>
    <w:rsid w:val="1FB31D0A"/>
    <w:rsid w:val="1FB524DE"/>
    <w:rsid w:val="1FB572A9"/>
    <w:rsid w:val="1FBC7C24"/>
    <w:rsid w:val="1FC4563B"/>
    <w:rsid w:val="1FC76D3D"/>
    <w:rsid w:val="1FC81159"/>
    <w:rsid w:val="1FD920F9"/>
    <w:rsid w:val="1FE34BC6"/>
    <w:rsid w:val="1FE41856"/>
    <w:rsid w:val="1FE83DDC"/>
    <w:rsid w:val="1FEB7446"/>
    <w:rsid w:val="1FF73CD4"/>
    <w:rsid w:val="1FFE0A77"/>
    <w:rsid w:val="20055C68"/>
    <w:rsid w:val="2008261D"/>
    <w:rsid w:val="202B2AF4"/>
    <w:rsid w:val="20316D2A"/>
    <w:rsid w:val="203F0F39"/>
    <w:rsid w:val="20461C42"/>
    <w:rsid w:val="204D2584"/>
    <w:rsid w:val="204E57D3"/>
    <w:rsid w:val="20515FBA"/>
    <w:rsid w:val="20517BEC"/>
    <w:rsid w:val="20555725"/>
    <w:rsid w:val="20597EB3"/>
    <w:rsid w:val="20631369"/>
    <w:rsid w:val="206538A3"/>
    <w:rsid w:val="206755AB"/>
    <w:rsid w:val="20703A0E"/>
    <w:rsid w:val="207B7A31"/>
    <w:rsid w:val="20807B83"/>
    <w:rsid w:val="208A1412"/>
    <w:rsid w:val="20925FB2"/>
    <w:rsid w:val="20A200E4"/>
    <w:rsid w:val="20B220B5"/>
    <w:rsid w:val="20B517CC"/>
    <w:rsid w:val="20C874CF"/>
    <w:rsid w:val="20D43928"/>
    <w:rsid w:val="20D44D86"/>
    <w:rsid w:val="20DA02A4"/>
    <w:rsid w:val="20DB5196"/>
    <w:rsid w:val="20F1332C"/>
    <w:rsid w:val="20F846A6"/>
    <w:rsid w:val="20FF2023"/>
    <w:rsid w:val="21012B73"/>
    <w:rsid w:val="21052FDF"/>
    <w:rsid w:val="210543B3"/>
    <w:rsid w:val="210B1F41"/>
    <w:rsid w:val="211A0F79"/>
    <w:rsid w:val="21305EA8"/>
    <w:rsid w:val="21331C19"/>
    <w:rsid w:val="213754B1"/>
    <w:rsid w:val="213C22A1"/>
    <w:rsid w:val="213E221A"/>
    <w:rsid w:val="213E37E4"/>
    <w:rsid w:val="213E5369"/>
    <w:rsid w:val="21446326"/>
    <w:rsid w:val="21467F17"/>
    <w:rsid w:val="214833CD"/>
    <w:rsid w:val="214E64EF"/>
    <w:rsid w:val="215163F7"/>
    <w:rsid w:val="21523A44"/>
    <w:rsid w:val="21526A50"/>
    <w:rsid w:val="21590FA5"/>
    <w:rsid w:val="2159361F"/>
    <w:rsid w:val="217043C3"/>
    <w:rsid w:val="217334F8"/>
    <w:rsid w:val="21847EDE"/>
    <w:rsid w:val="21863A96"/>
    <w:rsid w:val="2186479F"/>
    <w:rsid w:val="219011FB"/>
    <w:rsid w:val="21A17DBB"/>
    <w:rsid w:val="21AB744A"/>
    <w:rsid w:val="21AC46EE"/>
    <w:rsid w:val="21AD38FB"/>
    <w:rsid w:val="21B46BC4"/>
    <w:rsid w:val="21BA3FD6"/>
    <w:rsid w:val="21BA7D0C"/>
    <w:rsid w:val="21BD0253"/>
    <w:rsid w:val="21C440BD"/>
    <w:rsid w:val="21CE1B27"/>
    <w:rsid w:val="21CF3FE7"/>
    <w:rsid w:val="21D05CDD"/>
    <w:rsid w:val="21D35012"/>
    <w:rsid w:val="21D604E6"/>
    <w:rsid w:val="21DC43C2"/>
    <w:rsid w:val="21FC6987"/>
    <w:rsid w:val="22054593"/>
    <w:rsid w:val="22190DF0"/>
    <w:rsid w:val="221966A6"/>
    <w:rsid w:val="22346226"/>
    <w:rsid w:val="223660EF"/>
    <w:rsid w:val="2246615D"/>
    <w:rsid w:val="22467831"/>
    <w:rsid w:val="22546F11"/>
    <w:rsid w:val="225709AF"/>
    <w:rsid w:val="226264E4"/>
    <w:rsid w:val="22712124"/>
    <w:rsid w:val="22756396"/>
    <w:rsid w:val="2277737E"/>
    <w:rsid w:val="227D3DD3"/>
    <w:rsid w:val="227D50AF"/>
    <w:rsid w:val="228A32ED"/>
    <w:rsid w:val="22963C78"/>
    <w:rsid w:val="229F0FDC"/>
    <w:rsid w:val="22AB34FD"/>
    <w:rsid w:val="22B00FE3"/>
    <w:rsid w:val="22B412BB"/>
    <w:rsid w:val="22B921DA"/>
    <w:rsid w:val="22B94355"/>
    <w:rsid w:val="22C00FF6"/>
    <w:rsid w:val="22C31AB2"/>
    <w:rsid w:val="22C353DD"/>
    <w:rsid w:val="22C93511"/>
    <w:rsid w:val="22C97A4D"/>
    <w:rsid w:val="22CA1123"/>
    <w:rsid w:val="22D448A9"/>
    <w:rsid w:val="22DA4910"/>
    <w:rsid w:val="22DB44FC"/>
    <w:rsid w:val="22E67F1C"/>
    <w:rsid w:val="22E76EF6"/>
    <w:rsid w:val="22E92F5A"/>
    <w:rsid w:val="22EE232A"/>
    <w:rsid w:val="22F834E5"/>
    <w:rsid w:val="22F846D3"/>
    <w:rsid w:val="22FC38E3"/>
    <w:rsid w:val="22FF54B6"/>
    <w:rsid w:val="230D20E1"/>
    <w:rsid w:val="23140095"/>
    <w:rsid w:val="23157F61"/>
    <w:rsid w:val="231D5C46"/>
    <w:rsid w:val="232936D0"/>
    <w:rsid w:val="232D4051"/>
    <w:rsid w:val="23314992"/>
    <w:rsid w:val="2332113F"/>
    <w:rsid w:val="23351FA9"/>
    <w:rsid w:val="23393DBB"/>
    <w:rsid w:val="234472BE"/>
    <w:rsid w:val="2345336D"/>
    <w:rsid w:val="234A76EF"/>
    <w:rsid w:val="234B2789"/>
    <w:rsid w:val="234E4970"/>
    <w:rsid w:val="235B61C9"/>
    <w:rsid w:val="236E3CBA"/>
    <w:rsid w:val="23764990"/>
    <w:rsid w:val="238A6CD1"/>
    <w:rsid w:val="238D6EA2"/>
    <w:rsid w:val="239E0AFE"/>
    <w:rsid w:val="23A36852"/>
    <w:rsid w:val="23A42FE5"/>
    <w:rsid w:val="23A80A91"/>
    <w:rsid w:val="23AF034A"/>
    <w:rsid w:val="23B52E13"/>
    <w:rsid w:val="23B53DAB"/>
    <w:rsid w:val="23B963A3"/>
    <w:rsid w:val="23C960C1"/>
    <w:rsid w:val="23CE7222"/>
    <w:rsid w:val="23CF5B21"/>
    <w:rsid w:val="23D52154"/>
    <w:rsid w:val="23D8590C"/>
    <w:rsid w:val="23DE3EE7"/>
    <w:rsid w:val="23DF237D"/>
    <w:rsid w:val="23ED5C81"/>
    <w:rsid w:val="23EF3C87"/>
    <w:rsid w:val="23FF7332"/>
    <w:rsid w:val="24001527"/>
    <w:rsid w:val="24060475"/>
    <w:rsid w:val="240772B1"/>
    <w:rsid w:val="24134A87"/>
    <w:rsid w:val="242949C1"/>
    <w:rsid w:val="242B3B88"/>
    <w:rsid w:val="242F5319"/>
    <w:rsid w:val="2433026E"/>
    <w:rsid w:val="24366057"/>
    <w:rsid w:val="24395BC7"/>
    <w:rsid w:val="243E1454"/>
    <w:rsid w:val="24402050"/>
    <w:rsid w:val="24480B04"/>
    <w:rsid w:val="244B00C0"/>
    <w:rsid w:val="24504564"/>
    <w:rsid w:val="245E4B1C"/>
    <w:rsid w:val="245E65F7"/>
    <w:rsid w:val="246063DF"/>
    <w:rsid w:val="246451CA"/>
    <w:rsid w:val="246A734E"/>
    <w:rsid w:val="246B20E8"/>
    <w:rsid w:val="247C4CC8"/>
    <w:rsid w:val="247C711F"/>
    <w:rsid w:val="24843748"/>
    <w:rsid w:val="24A501A2"/>
    <w:rsid w:val="24AD0773"/>
    <w:rsid w:val="24AD5999"/>
    <w:rsid w:val="24B35271"/>
    <w:rsid w:val="24B521B5"/>
    <w:rsid w:val="24B545C8"/>
    <w:rsid w:val="24BA19EE"/>
    <w:rsid w:val="24CE4AF6"/>
    <w:rsid w:val="24D20846"/>
    <w:rsid w:val="24DD64FC"/>
    <w:rsid w:val="24E329D4"/>
    <w:rsid w:val="24E57B81"/>
    <w:rsid w:val="24E61D5B"/>
    <w:rsid w:val="24E65598"/>
    <w:rsid w:val="24E96743"/>
    <w:rsid w:val="24EA675F"/>
    <w:rsid w:val="24EE1B49"/>
    <w:rsid w:val="24EE5A0B"/>
    <w:rsid w:val="24FF2FC1"/>
    <w:rsid w:val="25072191"/>
    <w:rsid w:val="250A037F"/>
    <w:rsid w:val="250C1650"/>
    <w:rsid w:val="25110489"/>
    <w:rsid w:val="25160237"/>
    <w:rsid w:val="251850C4"/>
    <w:rsid w:val="251C5DE8"/>
    <w:rsid w:val="251D141E"/>
    <w:rsid w:val="251F4CB8"/>
    <w:rsid w:val="254210BC"/>
    <w:rsid w:val="254A3B8D"/>
    <w:rsid w:val="254F2870"/>
    <w:rsid w:val="255C18BB"/>
    <w:rsid w:val="255C5353"/>
    <w:rsid w:val="255C5DFA"/>
    <w:rsid w:val="25614D56"/>
    <w:rsid w:val="25634FB9"/>
    <w:rsid w:val="256A3635"/>
    <w:rsid w:val="25711DDF"/>
    <w:rsid w:val="258249F5"/>
    <w:rsid w:val="25852F8D"/>
    <w:rsid w:val="258C1E50"/>
    <w:rsid w:val="25963BDC"/>
    <w:rsid w:val="259E0F52"/>
    <w:rsid w:val="25A131B1"/>
    <w:rsid w:val="25A56969"/>
    <w:rsid w:val="25AC209F"/>
    <w:rsid w:val="25AF5AD1"/>
    <w:rsid w:val="25B0694C"/>
    <w:rsid w:val="25C03F3E"/>
    <w:rsid w:val="25C26B32"/>
    <w:rsid w:val="25C913AC"/>
    <w:rsid w:val="25C94238"/>
    <w:rsid w:val="25D90F75"/>
    <w:rsid w:val="25DA3DD7"/>
    <w:rsid w:val="25E17531"/>
    <w:rsid w:val="260A62CD"/>
    <w:rsid w:val="260C0317"/>
    <w:rsid w:val="260D0F43"/>
    <w:rsid w:val="261323A8"/>
    <w:rsid w:val="261B2A21"/>
    <w:rsid w:val="26230FB3"/>
    <w:rsid w:val="26277D9A"/>
    <w:rsid w:val="26280A3A"/>
    <w:rsid w:val="262C2DFB"/>
    <w:rsid w:val="26362445"/>
    <w:rsid w:val="26472DAE"/>
    <w:rsid w:val="264B79AC"/>
    <w:rsid w:val="265D2C36"/>
    <w:rsid w:val="266863CC"/>
    <w:rsid w:val="266D068F"/>
    <w:rsid w:val="26771D77"/>
    <w:rsid w:val="26791317"/>
    <w:rsid w:val="267A3EA7"/>
    <w:rsid w:val="26811112"/>
    <w:rsid w:val="26881D7F"/>
    <w:rsid w:val="269162C2"/>
    <w:rsid w:val="26941211"/>
    <w:rsid w:val="269A39CE"/>
    <w:rsid w:val="26A364C5"/>
    <w:rsid w:val="26A44093"/>
    <w:rsid w:val="26AA72BE"/>
    <w:rsid w:val="26AC0A54"/>
    <w:rsid w:val="26AC32C5"/>
    <w:rsid w:val="26B079EB"/>
    <w:rsid w:val="26B56802"/>
    <w:rsid w:val="26B93D6C"/>
    <w:rsid w:val="26B972F5"/>
    <w:rsid w:val="26CA4E13"/>
    <w:rsid w:val="26CE724B"/>
    <w:rsid w:val="26D330CE"/>
    <w:rsid w:val="26E12CEB"/>
    <w:rsid w:val="26E165B9"/>
    <w:rsid w:val="27001A1C"/>
    <w:rsid w:val="2707669F"/>
    <w:rsid w:val="27093B41"/>
    <w:rsid w:val="270975D9"/>
    <w:rsid w:val="270B0F88"/>
    <w:rsid w:val="270F6DCE"/>
    <w:rsid w:val="27104E2C"/>
    <w:rsid w:val="271D074B"/>
    <w:rsid w:val="272A076F"/>
    <w:rsid w:val="273A6D23"/>
    <w:rsid w:val="2744508E"/>
    <w:rsid w:val="27475DA8"/>
    <w:rsid w:val="27514BF7"/>
    <w:rsid w:val="275B2D4B"/>
    <w:rsid w:val="27675135"/>
    <w:rsid w:val="277A46D2"/>
    <w:rsid w:val="277D0B81"/>
    <w:rsid w:val="27811362"/>
    <w:rsid w:val="278334F7"/>
    <w:rsid w:val="278A44E6"/>
    <w:rsid w:val="279C45E8"/>
    <w:rsid w:val="27A25E51"/>
    <w:rsid w:val="27A8737C"/>
    <w:rsid w:val="27AC2852"/>
    <w:rsid w:val="27B14F29"/>
    <w:rsid w:val="27BB232A"/>
    <w:rsid w:val="27BC7000"/>
    <w:rsid w:val="27C34BCB"/>
    <w:rsid w:val="27D03B58"/>
    <w:rsid w:val="27D711E9"/>
    <w:rsid w:val="27E17E6D"/>
    <w:rsid w:val="27E5487F"/>
    <w:rsid w:val="27EC3678"/>
    <w:rsid w:val="27F87B30"/>
    <w:rsid w:val="27FC3FF5"/>
    <w:rsid w:val="27FC5B66"/>
    <w:rsid w:val="28001066"/>
    <w:rsid w:val="280964C0"/>
    <w:rsid w:val="281A3EA5"/>
    <w:rsid w:val="28271983"/>
    <w:rsid w:val="28273F08"/>
    <w:rsid w:val="282D4A2F"/>
    <w:rsid w:val="28494535"/>
    <w:rsid w:val="284D0039"/>
    <w:rsid w:val="285F1B5C"/>
    <w:rsid w:val="2864350E"/>
    <w:rsid w:val="286706B6"/>
    <w:rsid w:val="286E406A"/>
    <w:rsid w:val="28713AB4"/>
    <w:rsid w:val="287B2CA8"/>
    <w:rsid w:val="287C7545"/>
    <w:rsid w:val="28923372"/>
    <w:rsid w:val="28977F29"/>
    <w:rsid w:val="289B7D7E"/>
    <w:rsid w:val="289D1D2D"/>
    <w:rsid w:val="28A36416"/>
    <w:rsid w:val="28A97F99"/>
    <w:rsid w:val="28B134F3"/>
    <w:rsid w:val="28B27CA3"/>
    <w:rsid w:val="28C7538A"/>
    <w:rsid w:val="28CF2658"/>
    <w:rsid w:val="28D42E04"/>
    <w:rsid w:val="28DB5F36"/>
    <w:rsid w:val="28E62AF5"/>
    <w:rsid w:val="28E667CC"/>
    <w:rsid w:val="28E72633"/>
    <w:rsid w:val="28F434A6"/>
    <w:rsid w:val="28F93D04"/>
    <w:rsid w:val="28FC5180"/>
    <w:rsid w:val="28FE1AB3"/>
    <w:rsid w:val="28FE4B2D"/>
    <w:rsid w:val="29041E6B"/>
    <w:rsid w:val="29162F3C"/>
    <w:rsid w:val="291C315B"/>
    <w:rsid w:val="29336423"/>
    <w:rsid w:val="29362C39"/>
    <w:rsid w:val="293C308A"/>
    <w:rsid w:val="293D7E8D"/>
    <w:rsid w:val="29415C67"/>
    <w:rsid w:val="2944459C"/>
    <w:rsid w:val="294600FB"/>
    <w:rsid w:val="294B48E7"/>
    <w:rsid w:val="295623BD"/>
    <w:rsid w:val="29572119"/>
    <w:rsid w:val="295F59C2"/>
    <w:rsid w:val="29611C40"/>
    <w:rsid w:val="29763832"/>
    <w:rsid w:val="297B3133"/>
    <w:rsid w:val="297E1B70"/>
    <w:rsid w:val="29852C66"/>
    <w:rsid w:val="29887F9D"/>
    <w:rsid w:val="29893502"/>
    <w:rsid w:val="29965DD0"/>
    <w:rsid w:val="299A5C41"/>
    <w:rsid w:val="29A61CF2"/>
    <w:rsid w:val="29A81854"/>
    <w:rsid w:val="29A935D8"/>
    <w:rsid w:val="29B36F12"/>
    <w:rsid w:val="29C17AA0"/>
    <w:rsid w:val="29CD7459"/>
    <w:rsid w:val="29D44229"/>
    <w:rsid w:val="29E17195"/>
    <w:rsid w:val="29E22061"/>
    <w:rsid w:val="29E41979"/>
    <w:rsid w:val="29E6213E"/>
    <w:rsid w:val="29E672C5"/>
    <w:rsid w:val="29E77616"/>
    <w:rsid w:val="29E80F86"/>
    <w:rsid w:val="29F30E61"/>
    <w:rsid w:val="29F96629"/>
    <w:rsid w:val="29FB045E"/>
    <w:rsid w:val="29FD43DC"/>
    <w:rsid w:val="29FD7288"/>
    <w:rsid w:val="2A053F98"/>
    <w:rsid w:val="2A0659E1"/>
    <w:rsid w:val="2A0B4CFD"/>
    <w:rsid w:val="2A0F566E"/>
    <w:rsid w:val="2A0F5AD0"/>
    <w:rsid w:val="2A122202"/>
    <w:rsid w:val="2A130D62"/>
    <w:rsid w:val="2A152DB6"/>
    <w:rsid w:val="2A1A285E"/>
    <w:rsid w:val="2A2279FD"/>
    <w:rsid w:val="2A2468B8"/>
    <w:rsid w:val="2A2F2E6F"/>
    <w:rsid w:val="2A301D68"/>
    <w:rsid w:val="2A357449"/>
    <w:rsid w:val="2A3E1DC1"/>
    <w:rsid w:val="2A4D0573"/>
    <w:rsid w:val="2A5B012D"/>
    <w:rsid w:val="2A5E6191"/>
    <w:rsid w:val="2A5F2BA2"/>
    <w:rsid w:val="2A67601F"/>
    <w:rsid w:val="2A6932E0"/>
    <w:rsid w:val="2A6E1037"/>
    <w:rsid w:val="2A6E71D0"/>
    <w:rsid w:val="2A7C0FEE"/>
    <w:rsid w:val="2AA33CFD"/>
    <w:rsid w:val="2AAE40CF"/>
    <w:rsid w:val="2AC2238B"/>
    <w:rsid w:val="2AC5066A"/>
    <w:rsid w:val="2AC805B9"/>
    <w:rsid w:val="2ACB6489"/>
    <w:rsid w:val="2ACC748C"/>
    <w:rsid w:val="2ACF6A8A"/>
    <w:rsid w:val="2AE23FC9"/>
    <w:rsid w:val="2AE609CA"/>
    <w:rsid w:val="2AE6274F"/>
    <w:rsid w:val="2AE70EB2"/>
    <w:rsid w:val="2AE75AFF"/>
    <w:rsid w:val="2AEF405A"/>
    <w:rsid w:val="2AF37208"/>
    <w:rsid w:val="2AF50B76"/>
    <w:rsid w:val="2AFD31AB"/>
    <w:rsid w:val="2B205BA3"/>
    <w:rsid w:val="2B285E7C"/>
    <w:rsid w:val="2B2C5116"/>
    <w:rsid w:val="2B3136F7"/>
    <w:rsid w:val="2B354791"/>
    <w:rsid w:val="2B3559C2"/>
    <w:rsid w:val="2B3F1E1C"/>
    <w:rsid w:val="2B4A3D8D"/>
    <w:rsid w:val="2B4A471E"/>
    <w:rsid w:val="2B4A5FA4"/>
    <w:rsid w:val="2B4C6985"/>
    <w:rsid w:val="2B501B65"/>
    <w:rsid w:val="2B613C4D"/>
    <w:rsid w:val="2B6F182C"/>
    <w:rsid w:val="2B74171E"/>
    <w:rsid w:val="2B7B4934"/>
    <w:rsid w:val="2B7C62E4"/>
    <w:rsid w:val="2B841A50"/>
    <w:rsid w:val="2B870602"/>
    <w:rsid w:val="2B873A41"/>
    <w:rsid w:val="2BA0294D"/>
    <w:rsid w:val="2BA11B99"/>
    <w:rsid w:val="2BA864FF"/>
    <w:rsid w:val="2BC91F60"/>
    <w:rsid w:val="2BD73FEB"/>
    <w:rsid w:val="2BDC3C01"/>
    <w:rsid w:val="2BEC6C7A"/>
    <w:rsid w:val="2BF0238C"/>
    <w:rsid w:val="2BF07ED6"/>
    <w:rsid w:val="2BF42443"/>
    <w:rsid w:val="2BF44B30"/>
    <w:rsid w:val="2BF7191D"/>
    <w:rsid w:val="2C020E52"/>
    <w:rsid w:val="2C051307"/>
    <w:rsid w:val="2C0819FF"/>
    <w:rsid w:val="2C091F09"/>
    <w:rsid w:val="2C140305"/>
    <w:rsid w:val="2C155EFF"/>
    <w:rsid w:val="2C1E2655"/>
    <w:rsid w:val="2C290AD7"/>
    <w:rsid w:val="2C36789D"/>
    <w:rsid w:val="2C37579C"/>
    <w:rsid w:val="2C413362"/>
    <w:rsid w:val="2C471CC1"/>
    <w:rsid w:val="2C554F9D"/>
    <w:rsid w:val="2C5C0751"/>
    <w:rsid w:val="2C6124BC"/>
    <w:rsid w:val="2C6203AC"/>
    <w:rsid w:val="2C696F2A"/>
    <w:rsid w:val="2C751391"/>
    <w:rsid w:val="2C764051"/>
    <w:rsid w:val="2C7B30C7"/>
    <w:rsid w:val="2C801670"/>
    <w:rsid w:val="2C83561C"/>
    <w:rsid w:val="2C8B4EF3"/>
    <w:rsid w:val="2C8F1FC8"/>
    <w:rsid w:val="2C8F4CA1"/>
    <w:rsid w:val="2C93279C"/>
    <w:rsid w:val="2C955175"/>
    <w:rsid w:val="2CA366B4"/>
    <w:rsid w:val="2CA75A8F"/>
    <w:rsid w:val="2CAA59A1"/>
    <w:rsid w:val="2CB1415F"/>
    <w:rsid w:val="2CB60393"/>
    <w:rsid w:val="2CB6664F"/>
    <w:rsid w:val="2CBA7EE4"/>
    <w:rsid w:val="2CBC5E92"/>
    <w:rsid w:val="2CC16776"/>
    <w:rsid w:val="2CD53BF3"/>
    <w:rsid w:val="2CDF1C79"/>
    <w:rsid w:val="2CFA45B1"/>
    <w:rsid w:val="2CFE65E3"/>
    <w:rsid w:val="2CFF1635"/>
    <w:rsid w:val="2D08622F"/>
    <w:rsid w:val="2D0D0C73"/>
    <w:rsid w:val="2D0F6B01"/>
    <w:rsid w:val="2D2345C7"/>
    <w:rsid w:val="2D261723"/>
    <w:rsid w:val="2D307812"/>
    <w:rsid w:val="2D490B32"/>
    <w:rsid w:val="2D494825"/>
    <w:rsid w:val="2D4C0DCE"/>
    <w:rsid w:val="2D4F3BDF"/>
    <w:rsid w:val="2D533460"/>
    <w:rsid w:val="2D581CCF"/>
    <w:rsid w:val="2D5C1DB2"/>
    <w:rsid w:val="2D5E173E"/>
    <w:rsid w:val="2D650E42"/>
    <w:rsid w:val="2D66368B"/>
    <w:rsid w:val="2D75475C"/>
    <w:rsid w:val="2D7B4B2E"/>
    <w:rsid w:val="2D801ABC"/>
    <w:rsid w:val="2D8258F3"/>
    <w:rsid w:val="2D856830"/>
    <w:rsid w:val="2D8613F9"/>
    <w:rsid w:val="2D882515"/>
    <w:rsid w:val="2D8D74A4"/>
    <w:rsid w:val="2D917516"/>
    <w:rsid w:val="2D926137"/>
    <w:rsid w:val="2DA22417"/>
    <w:rsid w:val="2DA500D9"/>
    <w:rsid w:val="2DA81396"/>
    <w:rsid w:val="2DAC06F5"/>
    <w:rsid w:val="2DAE0F14"/>
    <w:rsid w:val="2DAF5AAF"/>
    <w:rsid w:val="2DB65AAE"/>
    <w:rsid w:val="2DBD110C"/>
    <w:rsid w:val="2DC8442F"/>
    <w:rsid w:val="2DD32C8F"/>
    <w:rsid w:val="2DDD25EF"/>
    <w:rsid w:val="2DE45CFD"/>
    <w:rsid w:val="2DE63201"/>
    <w:rsid w:val="2DEF5A58"/>
    <w:rsid w:val="2DFA7F9E"/>
    <w:rsid w:val="2DFC18C7"/>
    <w:rsid w:val="2DFF4613"/>
    <w:rsid w:val="2E0105C4"/>
    <w:rsid w:val="2E0138AD"/>
    <w:rsid w:val="2E1B4AFC"/>
    <w:rsid w:val="2E1C2D47"/>
    <w:rsid w:val="2E2022A8"/>
    <w:rsid w:val="2E245F9F"/>
    <w:rsid w:val="2E2603E5"/>
    <w:rsid w:val="2E2D43B8"/>
    <w:rsid w:val="2E2F11A0"/>
    <w:rsid w:val="2E316F3F"/>
    <w:rsid w:val="2E3F49AD"/>
    <w:rsid w:val="2E4462D2"/>
    <w:rsid w:val="2E4E530C"/>
    <w:rsid w:val="2E581ED0"/>
    <w:rsid w:val="2E5DA550"/>
    <w:rsid w:val="2E6D227D"/>
    <w:rsid w:val="2E6D7E65"/>
    <w:rsid w:val="2E787995"/>
    <w:rsid w:val="2E79424B"/>
    <w:rsid w:val="2E7C45AD"/>
    <w:rsid w:val="2E8554FA"/>
    <w:rsid w:val="2E8D7461"/>
    <w:rsid w:val="2EA60516"/>
    <w:rsid w:val="2EA8442B"/>
    <w:rsid w:val="2EAD2145"/>
    <w:rsid w:val="2EB81B62"/>
    <w:rsid w:val="2EBC2263"/>
    <w:rsid w:val="2EBD0643"/>
    <w:rsid w:val="2EC233F9"/>
    <w:rsid w:val="2EC35595"/>
    <w:rsid w:val="2EC547F2"/>
    <w:rsid w:val="2ED07EF2"/>
    <w:rsid w:val="2ED174C9"/>
    <w:rsid w:val="2EDE0469"/>
    <w:rsid w:val="2EE37FA0"/>
    <w:rsid w:val="2EE711B6"/>
    <w:rsid w:val="2EEB49FA"/>
    <w:rsid w:val="2F0106CB"/>
    <w:rsid w:val="2F06315B"/>
    <w:rsid w:val="2F06773C"/>
    <w:rsid w:val="2F0B0AE3"/>
    <w:rsid w:val="2F14652F"/>
    <w:rsid w:val="2F1F7372"/>
    <w:rsid w:val="2F24468F"/>
    <w:rsid w:val="2F270AC3"/>
    <w:rsid w:val="2F2D4FF3"/>
    <w:rsid w:val="2F342A84"/>
    <w:rsid w:val="2F3454EE"/>
    <w:rsid w:val="2F371654"/>
    <w:rsid w:val="2F395E92"/>
    <w:rsid w:val="2F3A4E04"/>
    <w:rsid w:val="2F4003EC"/>
    <w:rsid w:val="2F4076BB"/>
    <w:rsid w:val="2F430FF7"/>
    <w:rsid w:val="2F481044"/>
    <w:rsid w:val="2F4A7913"/>
    <w:rsid w:val="2F5A149E"/>
    <w:rsid w:val="2F5C7A53"/>
    <w:rsid w:val="2F604ED2"/>
    <w:rsid w:val="2F6B07A4"/>
    <w:rsid w:val="2F6F6E22"/>
    <w:rsid w:val="2F75606A"/>
    <w:rsid w:val="2F780359"/>
    <w:rsid w:val="2F8E6C98"/>
    <w:rsid w:val="2F9327A7"/>
    <w:rsid w:val="2FA379EE"/>
    <w:rsid w:val="2FA6537A"/>
    <w:rsid w:val="2FA67D1F"/>
    <w:rsid w:val="2FA867E1"/>
    <w:rsid w:val="2FAB76D1"/>
    <w:rsid w:val="2FAECD28"/>
    <w:rsid w:val="2FAF0A40"/>
    <w:rsid w:val="2FB56B98"/>
    <w:rsid w:val="2FBA0D9A"/>
    <w:rsid w:val="2FBE5B8D"/>
    <w:rsid w:val="2FBF713D"/>
    <w:rsid w:val="2FC77845"/>
    <w:rsid w:val="2FC9676A"/>
    <w:rsid w:val="2FCB4DD1"/>
    <w:rsid w:val="2FDC4FF1"/>
    <w:rsid w:val="2FDC5166"/>
    <w:rsid w:val="2FDE194E"/>
    <w:rsid w:val="2FDE6B46"/>
    <w:rsid w:val="2FE232A7"/>
    <w:rsid w:val="2FE3161C"/>
    <w:rsid w:val="2FE754B4"/>
    <w:rsid w:val="2FE94B9A"/>
    <w:rsid w:val="2FF108F6"/>
    <w:rsid w:val="2FF67A42"/>
    <w:rsid w:val="30077136"/>
    <w:rsid w:val="30090875"/>
    <w:rsid w:val="300C16BD"/>
    <w:rsid w:val="3016617D"/>
    <w:rsid w:val="30170036"/>
    <w:rsid w:val="30251522"/>
    <w:rsid w:val="30275F10"/>
    <w:rsid w:val="302C1774"/>
    <w:rsid w:val="30345EE8"/>
    <w:rsid w:val="30370F83"/>
    <w:rsid w:val="30372891"/>
    <w:rsid w:val="30396B10"/>
    <w:rsid w:val="303B336D"/>
    <w:rsid w:val="30433157"/>
    <w:rsid w:val="304F6B17"/>
    <w:rsid w:val="30516C77"/>
    <w:rsid w:val="30600370"/>
    <w:rsid w:val="306741DB"/>
    <w:rsid w:val="306F163B"/>
    <w:rsid w:val="30780DFA"/>
    <w:rsid w:val="307B4F89"/>
    <w:rsid w:val="308B5CBA"/>
    <w:rsid w:val="30A706D1"/>
    <w:rsid w:val="30A7648F"/>
    <w:rsid w:val="30AB2825"/>
    <w:rsid w:val="30AB3B6B"/>
    <w:rsid w:val="30AD36ED"/>
    <w:rsid w:val="30CD2327"/>
    <w:rsid w:val="30D0530A"/>
    <w:rsid w:val="30D55375"/>
    <w:rsid w:val="30D9094A"/>
    <w:rsid w:val="30DA1C8A"/>
    <w:rsid w:val="30DB6191"/>
    <w:rsid w:val="30DD06A7"/>
    <w:rsid w:val="30DD29CE"/>
    <w:rsid w:val="30DE37F5"/>
    <w:rsid w:val="30E57BC8"/>
    <w:rsid w:val="30E6523C"/>
    <w:rsid w:val="30E7578F"/>
    <w:rsid w:val="30E91822"/>
    <w:rsid w:val="30ED62B1"/>
    <w:rsid w:val="30EE18BE"/>
    <w:rsid w:val="30EE58FA"/>
    <w:rsid w:val="30F12587"/>
    <w:rsid w:val="30F8450D"/>
    <w:rsid w:val="30F94B3F"/>
    <w:rsid w:val="30FA66F9"/>
    <w:rsid w:val="3102477E"/>
    <w:rsid w:val="31026961"/>
    <w:rsid w:val="3105390F"/>
    <w:rsid w:val="311E3592"/>
    <w:rsid w:val="31225802"/>
    <w:rsid w:val="3138432A"/>
    <w:rsid w:val="313D5697"/>
    <w:rsid w:val="314E4954"/>
    <w:rsid w:val="31500B3C"/>
    <w:rsid w:val="31542211"/>
    <w:rsid w:val="315E2D3B"/>
    <w:rsid w:val="316124DC"/>
    <w:rsid w:val="31643D76"/>
    <w:rsid w:val="31682BB3"/>
    <w:rsid w:val="3168625F"/>
    <w:rsid w:val="316A69FC"/>
    <w:rsid w:val="31704633"/>
    <w:rsid w:val="3172332D"/>
    <w:rsid w:val="31864D3E"/>
    <w:rsid w:val="318F6100"/>
    <w:rsid w:val="31910D55"/>
    <w:rsid w:val="31991C66"/>
    <w:rsid w:val="319C7B3C"/>
    <w:rsid w:val="31A3175F"/>
    <w:rsid w:val="31A60F66"/>
    <w:rsid w:val="31A87ADD"/>
    <w:rsid w:val="31AA213A"/>
    <w:rsid w:val="31AB33E4"/>
    <w:rsid w:val="31B000F0"/>
    <w:rsid w:val="31BA07A6"/>
    <w:rsid w:val="31BB57B1"/>
    <w:rsid w:val="31BD7DC2"/>
    <w:rsid w:val="31C50591"/>
    <w:rsid w:val="31CB53D5"/>
    <w:rsid w:val="31D36060"/>
    <w:rsid w:val="31E73000"/>
    <w:rsid w:val="31EA5447"/>
    <w:rsid w:val="31EC21BD"/>
    <w:rsid w:val="31EC7522"/>
    <w:rsid w:val="31ED2EF1"/>
    <w:rsid w:val="32012285"/>
    <w:rsid w:val="32017785"/>
    <w:rsid w:val="322721C8"/>
    <w:rsid w:val="32381C5F"/>
    <w:rsid w:val="323C4A2E"/>
    <w:rsid w:val="324030EE"/>
    <w:rsid w:val="32422E19"/>
    <w:rsid w:val="32461FE7"/>
    <w:rsid w:val="324A2916"/>
    <w:rsid w:val="324E140C"/>
    <w:rsid w:val="32614B4A"/>
    <w:rsid w:val="326339B3"/>
    <w:rsid w:val="326B6851"/>
    <w:rsid w:val="326F4E9C"/>
    <w:rsid w:val="32702BD5"/>
    <w:rsid w:val="32811F79"/>
    <w:rsid w:val="32864655"/>
    <w:rsid w:val="32885138"/>
    <w:rsid w:val="32893451"/>
    <w:rsid w:val="329965F5"/>
    <w:rsid w:val="329A6A9E"/>
    <w:rsid w:val="329A736B"/>
    <w:rsid w:val="32A04A94"/>
    <w:rsid w:val="32A427CA"/>
    <w:rsid w:val="32A7197B"/>
    <w:rsid w:val="32AFA206"/>
    <w:rsid w:val="32B33797"/>
    <w:rsid w:val="32B37E0D"/>
    <w:rsid w:val="32B51BDE"/>
    <w:rsid w:val="32BC3D75"/>
    <w:rsid w:val="32C40A07"/>
    <w:rsid w:val="32CA0686"/>
    <w:rsid w:val="32CA4767"/>
    <w:rsid w:val="32D228DB"/>
    <w:rsid w:val="32D2292A"/>
    <w:rsid w:val="32D8332E"/>
    <w:rsid w:val="32DD110C"/>
    <w:rsid w:val="32E27584"/>
    <w:rsid w:val="32E4274D"/>
    <w:rsid w:val="32EA4356"/>
    <w:rsid w:val="32EA7272"/>
    <w:rsid w:val="32F87F99"/>
    <w:rsid w:val="32FB3799"/>
    <w:rsid w:val="33083D6C"/>
    <w:rsid w:val="330B4E46"/>
    <w:rsid w:val="33102D67"/>
    <w:rsid w:val="33125B66"/>
    <w:rsid w:val="331414B9"/>
    <w:rsid w:val="33190E82"/>
    <w:rsid w:val="331A4778"/>
    <w:rsid w:val="331D2FB2"/>
    <w:rsid w:val="33304D51"/>
    <w:rsid w:val="33346406"/>
    <w:rsid w:val="33412A47"/>
    <w:rsid w:val="33443787"/>
    <w:rsid w:val="33482C37"/>
    <w:rsid w:val="335131FB"/>
    <w:rsid w:val="3360622F"/>
    <w:rsid w:val="336205A2"/>
    <w:rsid w:val="336D2C26"/>
    <w:rsid w:val="337269A6"/>
    <w:rsid w:val="33791790"/>
    <w:rsid w:val="33834D7C"/>
    <w:rsid w:val="33852819"/>
    <w:rsid w:val="33871999"/>
    <w:rsid w:val="33884F17"/>
    <w:rsid w:val="338C37F9"/>
    <w:rsid w:val="33900DD8"/>
    <w:rsid w:val="33933FAE"/>
    <w:rsid w:val="33AC185A"/>
    <w:rsid w:val="33AD4603"/>
    <w:rsid w:val="33AD67B5"/>
    <w:rsid w:val="33B900C0"/>
    <w:rsid w:val="33BC00F2"/>
    <w:rsid w:val="33BF13B4"/>
    <w:rsid w:val="33CF792F"/>
    <w:rsid w:val="33DD1044"/>
    <w:rsid w:val="33E22A9F"/>
    <w:rsid w:val="33E252DE"/>
    <w:rsid w:val="33EF4903"/>
    <w:rsid w:val="33F319D8"/>
    <w:rsid w:val="340D1BC5"/>
    <w:rsid w:val="340D4B04"/>
    <w:rsid w:val="342B76AC"/>
    <w:rsid w:val="342F7562"/>
    <w:rsid w:val="34364B8B"/>
    <w:rsid w:val="34375332"/>
    <w:rsid w:val="34442D5D"/>
    <w:rsid w:val="34443210"/>
    <w:rsid w:val="344D76D4"/>
    <w:rsid w:val="34577CDD"/>
    <w:rsid w:val="345965FA"/>
    <w:rsid w:val="3461183B"/>
    <w:rsid w:val="34674748"/>
    <w:rsid w:val="346B2570"/>
    <w:rsid w:val="34716A18"/>
    <w:rsid w:val="34716D4F"/>
    <w:rsid w:val="347C5154"/>
    <w:rsid w:val="3482183C"/>
    <w:rsid w:val="34850D8B"/>
    <w:rsid w:val="348659F9"/>
    <w:rsid w:val="34887FF5"/>
    <w:rsid w:val="348A1767"/>
    <w:rsid w:val="34920DBA"/>
    <w:rsid w:val="3493711F"/>
    <w:rsid w:val="349F5C3D"/>
    <w:rsid w:val="34AE00F1"/>
    <w:rsid w:val="34AE5218"/>
    <w:rsid w:val="34B070F1"/>
    <w:rsid w:val="34B271E0"/>
    <w:rsid w:val="34B57A6A"/>
    <w:rsid w:val="34B90A4C"/>
    <w:rsid w:val="34BC2AEE"/>
    <w:rsid w:val="34BE4EFB"/>
    <w:rsid w:val="34CB4A12"/>
    <w:rsid w:val="34D21EE8"/>
    <w:rsid w:val="34D47537"/>
    <w:rsid w:val="34D53539"/>
    <w:rsid w:val="34E205A8"/>
    <w:rsid w:val="34EA761F"/>
    <w:rsid w:val="34F262D6"/>
    <w:rsid w:val="34F368AB"/>
    <w:rsid w:val="34F74066"/>
    <w:rsid w:val="34F741B9"/>
    <w:rsid w:val="34FA0D1C"/>
    <w:rsid w:val="34FB1589"/>
    <w:rsid w:val="34FE0255"/>
    <w:rsid w:val="350730B8"/>
    <w:rsid w:val="35124BDF"/>
    <w:rsid w:val="351547F2"/>
    <w:rsid w:val="35156C7E"/>
    <w:rsid w:val="351847DE"/>
    <w:rsid w:val="352164B6"/>
    <w:rsid w:val="35263A2B"/>
    <w:rsid w:val="3528176C"/>
    <w:rsid w:val="352A1A45"/>
    <w:rsid w:val="352B2DCA"/>
    <w:rsid w:val="352F5D97"/>
    <w:rsid w:val="35383E18"/>
    <w:rsid w:val="353E2CF6"/>
    <w:rsid w:val="353F4A21"/>
    <w:rsid w:val="35434E58"/>
    <w:rsid w:val="354E17ED"/>
    <w:rsid w:val="355149E3"/>
    <w:rsid w:val="35526504"/>
    <w:rsid w:val="355C5A55"/>
    <w:rsid w:val="356660A7"/>
    <w:rsid w:val="357C663A"/>
    <w:rsid w:val="357D5641"/>
    <w:rsid w:val="35815594"/>
    <w:rsid w:val="35825DFF"/>
    <w:rsid w:val="35985A19"/>
    <w:rsid w:val="359B36CE"/>
    <w:rsid w:val="359C2E88"/>
    <w:rsid w:val="359F5875"/>
    <w:rsid w:val="35B36195"/>
    <w:rsid w:val="35BB566F"/>
    <w:rsid w:val="35C04EAE"/>
    <w:rsid w:val="35C3492C"/>
    <w:rsid w:val="35C55293"/>
    <w:rsid w:val="35CA2A36"/>
    <w:rsid w:val="35D178B2"/>
    <w:rsid w:val="35D43014"/>
    <w:rsid w:val="35D650EC"/>
    <w:rsid w:val="35DB6B26"/>
    <w:rsid w:val="35DE3A4D"/>
    <w:rsid w:val="35E22D8D"/>
    <w:rsid w:val="35E55251"/>
    <w:rsid w:val="35F81772"/>
    <w:rsid w:val="35FB40C6"/>
    <w:rsid w:val="35FD2AFC"/>
    <w:rsid w:val="36011A02"/>
    <w:rsid w:val="36094C87"/>
    <w:rsid w:val="36170DC0"/>
    <w:rsid w:val="362A1DFA"/>
    <w:rsid w:val="362B427C"/>
    <w:rsid w:val="362D0BBA"/>
    <w:rsid w:val="362D138E"/>
    <w:rsid w:val="362D79C7"/>
    <w:rsid w:val="363B3F7C"/>
    <w:rsid w:val="363F6804"/>
    <w:rsid w:val="364F191D"/>
    <w:rsid w:val="36530F8F"/>
    <w:rsid w:val="365F6233"/>
    <w:rsid w:val="36604F52"/>
    <w:rsid w:val="36631EBB"/>
    <w:rsid w:val="36710540"/>
    <w:rsid w:val="367914DA"/>
    <w:rsid w:val="36816BEC"/>
    <w:rsid w:val="36944A6B"/>
    <w:rsid w:val="36963D16"/>
    <w:rsid w:val="36A02BD9"/>
    <w:rsid w:val="36A03182"/>
    <w:rsid w:val="36A46123"/>
    <w:rsid w:val="36AA1026"/>
    <w:rsid w:val="36AB75A5"/>
    <w:rsid w:val="36CB7422"/>
    <w:rsid w:val="36D24FE3"/>
    <w:rsid w:val="36D44FD1"/>
    <w:rsid w:val="36E147DC"/>
    <w:rsid w:val="36E66A2E"/>
    <w:rsid w:val="36E91AB8"/>
    <w:rsid w:val="36F652B6"/>
    <w:rsid w:val="36F74AC3"/>
    <w:rsid w:val="36F8159F"/>
    <w:rsid w:val="370658EE"/>
    <w:rsid w:val="370C5A67"/>
    <w:rsid w:val="371C792D"/>
    <w:rsid w:val="371F7C4F"/>
    <w:rsid w:val="37216194"/>
    <w:rsid w:val="37292D18"/>
    <w:rsid w:val="372944A5"/>
    <w:rsid w:val="372B5434"/>
    <w:rsid w:val="372F2B17"/>
    <w:rsid w:val="373204C6"/>
    <w:rsid w:val="3733618B"/>
    <w:rsid w:val="373524E8"/>
    <w:rsid w:val="373A4572"/>
    <w:rsid w:val="37446F64"/>
    <w:rsid w:val="374638CE"/>
    <w:rsid w:val="374E1C28"/>
    <w:rsid w:val="37584853"/>
    <w:rsid w:val="375FA680"/>
    <w:rsid w:val="37687349"/>
    <w:rsid w:val="37774AF1"/>
    <w:rsid w:val="37825B07"/>
    <w:rsid w:val="378B147A"/>
    <w:rsid w:val="37AF4CE7"/>
    <w:rsid w:val="37B9C0D2"/>
    <w:rsid w:val="37BE70F0"/>
    <w:rsid w:val="37C279E6"/>
    <w:rsid w:val="37C3537C"/>
    <w:rsid w:val="37C75D9B"/>
    <w:rsid w:val="37CA1B5C"/>
    <w:rsid w:val="37D92B41"/>
    <w:rsid w:val="37DF4A7F"/>
    <w:rsid w:val="37E312B6"/>
    <w:rsid w:val="37E420C4"/>
    <w:rsid w:val="37EB040A"/>
    <w:rsid w:val="37EFA47D"/>
    <w:rsid w:val="37EFD7AB"/>
    <w:rsid w:val="37F43B51"/>
    <w:rsid w:val="37F976E5"/>
    <w:rsid w:val="37FF26F7"/>
    <w:rsid w:val="38110CEC"/>
    <w:rsid w:val="38290DB3"/>
    <w:rsid w:val="38326A66"/>
    <w:rsid w:val="38376340"/>
    <w:rsid w:val="383D70E7"/>
    <w:rsid w:val="38664E2E"/>
    <w:rsid w:val="386A5665"/>
    <w:rsid w:val="38735FE6"/>
    <w:rsid w:val="38754BF2"/>
    <w:rsid w:val="3876702E"/>
    <w:rsid w:val="387828C4"/>
    <w:rsid w:val="387B6682"/>
    <w:rsid w:val="387C42B2"/>
    <w:rsid w:val="387F773D"/>
    <w:rsid w:val="38872071"/>
    <w:rsid w:val="388B73AC"/>
    <w:rsid w:val="388D2005"/>
    <w:rsid w:val="38935752"/>
    <w:rsid w:val="38A16812"/>
    <w:rsid w:val="38A81F49"/>
    <w:rsid w:val="38AA4DCF"/>
    <w:rsid w:val="38AA6CCD"/>
    <w:rsid w:val="38B067ED"/>
    <w:rsid w:val="38B61C08"/>
    <w:rsid w:val="38C016C5"/>
    <w:rsid w:val="38C5631F"/>
    <w:rsid w:val="38CA6981"/>
    <w:rsid w:val="38CE5788"/>
    <w:rsid w:val="38D0041A"/>
    <w:rsid w:val="38D03CA5"/>
    <w:rsid w:val="38D56E7C"/>
    <w:rsid w:val="38DA4C4D"/>
    <w:rsid w:val="38DE5E39"/>
    <w:rsid w:val="38DF49DC"/>
    <w:rsid w:val="38E13451"/>
    <w:rsid w:val="38E16704"/>
    <w:rsid w:val="38E511CC"/>
    <w:rsid w:val="38F14A9A"/>
    <w:rsid w:val="38F55363"/>
    <w:rsid w:val="38FC27C1"/>
    <w:rsid w:val="39086667"/>
    <w:rsid w:val="390E745A"/>
    <w:rsid w:val="390F2FF9"/>
    <w:rsid w:val="3910200E"/>
    <w:rsid w:val="391C61E0"/>
    <w:rsid w:val="391D1AF6"/>
    <w:rsid w:val="391F121C"/>
    <w:rsid w:val="392119FC"/>
    <w:rsid w:val="39227ED6"/>
    <w:rsid w:val="39247565"/>
    <w:rsid w:val="39275CC8"/>
    <w:rsid w:val="39373005"/>
    <w:rsid w:val="39425244"/>
    <w:rsid w:val="39447834"/>
    <w:rsid w:val="39452CF0"/>
    <w:rsid w:val="394B1976"/>
    <w:rsid w:val="39576EF4"/>
    <w:rsid w:val="395A0C8B"/>
    <w:rsid w:val="39623066"/>
    <w:rsid w:val="397D36C5"/>
    <w:rsid w:val="397F20EE"/>
    <w:rsid w:val="3980525C"/>
    <w:rsid w:val="39826C0F"/>
    <w:rsid w:val="39834066"/>
    <w:rsid w:val="39946946"/>
    <w:rsid w:val="39A40146"/>
    <w:rsid w:val="39A66893"/>
    <w:rsid w:val="39B11BBD"/>
    <w:rsid w:val="39BD380D"/>
    <w:rsid w:val="39C678D5"/>
    <w:rsid w:val="39C8188B"/>
    <w:rsid w:val="39D33090"/>
    <w:rsid w:val="39D6511B"/>
    <w:rsid w:val="39DB63B7"/>
    <w:rsid w:val="39DD79CF"/>
    <w:rsid w:val="39EC63B4"/>
    <w:rsid w:val="39EF3E2E"/>
    <w:rsid w:val="39F14B5C"/>
    <w:rsid w:val="39F31198"/>
    <w:rsid w:val="39FC5027"/>
    <w:rsid w:val="3A0251EF"/>
    <w:rsid w:val="3A052141"/>
    <w:rsid w:val="3A106E99"/>
    <w:rsid w:val="3A22354D"/>
    <w:rsid w:val="3A281AFF"/>
    <w:rsid w:val="3A334EF5"/>
    <w:rsid w:val="3A3C4A01"/>
    <w:rsid w:val="3A4241F8"/>
    <w:rsid w:val="3A4246A7"/>
    <w:rsid w:val="3A5D13E2"/>
    <w:rsid w:val="3A657FBD"/>
    <w:rsid w:val="3A6A0A69"/>
    <w:rsid w:val="3A6D151C"/>
    <w:rsid w:val="3A6D6026"/>
    <w:rsid w:val="3A7A7528"/>
    <w:rsid w:val="3A7B0FED"/>
    <w:rsid w:val="3A8C4B88"/>
    <w:rsid w:val="3A8F1281"/>
    <w:rsid w:val="3A92109E"/>
    <w:rsid w:val="3A94135D"/>
    <w:rsid w:val="3A975E8B"/>
    <w:rsid w:val="3AA143DE"/>
    <w:rsid w:val="3AA77A0B"/>
    <w:rsid w:val="3AA8108F"/>
    <w:rsid w:val="3AAC1FDD"/>
    <w:rsid w:val="3AB31CB2"/>
    <w:rsid w:val="3ABC3EC1"/>
    <w:rsid w:val="3ABE3B67"/>
    <w:rsid w:val="3AC419C7"/>
    <w:rsid w:val="3AC86074"/>
    <w:rsid w:val="3AD07FD8"/>
    <w:rsid w:val="3AE30733"/>
    <w:rsid w:val="3AE42081"/>
    <w:rsid w:val="3AFA2A62"/>
    <w:rsid w:val="3B022044"/>
    <w:rsid w:val="3B0320C2"/>
    <w:rsid w:val="3B050AD6"/>
    <w:rsid w:val="3B057691"/>
    <w:rsid w:val="3B070A8E"/>
    <w:rsid w:val="3B074165"/>
    <w:rsid w:val="3B0F7440"/>
    <w:rsid w:val="3B1212F4"/>
    <w:rsid w:val="3B1337B8"/>
    <w:rsid w:val="3B172B4F"/>
    <w:rsid w:val="3B185FF2"/>
    <w:rsid w:val="3B1C653F"/>
    <w:rsid w:val="3B27041B"/>
    <w:rsid w:val="3B31003F"/>
    <w:rsid w:val="3B332AD5"/>
    <w:rsid w:val="3B3701AA"/>
    <w:rsid w:val="3B457E78"/>
    <w:rsid w:val="3B4A44AC"/>
    <w:rsid w:val="3B4F9928"/>
    <w:rsid w:val="3B595F92"/>
    <w:rsid w:val="3B615221"/>
    <w:rsid w:val="3B662AA0"/>
    <w:rsid w:val="3B7B2F20"/>
    <w:rsid w:val="3B7F5877"/>
    <w:rsid w:val="3B800C8A"/>
    <w:rsid w:val="3B8915E1"/>
    <w:rsid w:val="3B904CA9"/>
    <w:rsid w:val="3B9E4948"/>
    <w:rsid w:val="3BB85C1D"/>
    <w:rsid w:val="3BBD0A80"/>
    <w:rsid w:val="3BBD3523"/>
    <w:rsid w:val="3BC67642"/>
    <w:rsid w:val="3BD00E93"/>
    <w:rsid w:val="3BD13884"/>
    <w:rsid w:val="3BD2130E"/>
    <w:rsid w:val="3BDB1D94"/>
    <w:rsid w:val="3BDF8950"/>
    <w:rsid w:val="3BE3271A"/>
    <w:rsid w:val="3BF0187E"/>
    <w:rsid w:val="3BF24721"/>
    <w:rsid w:val="3BF35B55"/>
    <w:rsid w:val="3BF80CB4"/>
    <w:rsid w:val="3BFE6FB8"/>
    <w:rsid w:val="3C022CB9"/>
    <w:rsid w:val="3C0269F3"/>
    <w:rsid w:val="3C064D0A"/>
    <w:rsid w:val="3C0D6273"/>
    <w:rsid w:val="3C1220DB"/>
    <w:rsid w:val="3C150019"/>
    <w:rsid w:val="3C1A5D98"/>
    <w:rsid w:val="3C200389"/>
    <w:rsid w:val="3C265A11"/>
    <w:rsid w:val="3C300A38"/>
    <w:rsid w:val="3C372852"/>
    <w:rsid w:val="3C383425"/>
    <w:rsid w:val="3C392C95"/>
    <w:rsid w:val="3C3950B9"/>
    <w:rsid w:val="3C3E244B"/>
    <w:rsid w:val="3C4027F8"/>
    <w:rsid w:val="3C416A98"/>
    <w:rsid w:val="3C477FA0"/>
    <w:rsid w:val="3C4A7F1D"/>
    <w:rsid w:val="3C62410F"/>
    <w:rsid w:val="3C643BAC"/>
    <w:rsid w:val="3C775E45"/>
    <w:rsid w:val="3C877A7E"/>
    <w:rsid w:val="3C8D6DE4"/>
    <w:rsid w:val="3C953614"/>
    <w:rsid w:val="3CAE4126"/>
    <w:rsid w:val="3CBA1FE0"/>
    <w:rsid w:val="3CC44CC1"/>
    <w:rsid w:val="3CCD425B"/>
    <w:rsid w:val="3CCE048D"/>
    <w:rsid w:val="3CDA219E"/>
    <w:rsid w:val="3CDA5A95"/>
    <w:rsid w:val="3CE0091C"/>
    <w:rsid w:val="3CE30C99"/>
    <w:rsid w:val="3CE37662"/>
    <w:rsid w:val="3CE7312D"/>
    <w:rsid w:val="3CF00162"/>
    <w:rsid w:val="3CF15B83"/>
    <w:rsid w:val="3CFA2C61"/>
    <w:rsid w:val="3CFA340A"/>
    <w:rsid w:val="3CFC1871"/>
    <w:rsid w:val="3D0C3C0C"/>
    <w:rsid w:val="3D0F32E4"/>
    <w:rsid w:val="3D21752B"/>
    <w:rsid w:val="3D2363DE"/>
    <w:rsid w:val="3D236C6B"/>
    <w:rsid w:val="3D257B7D"/>
    <w:rsid w:val="3D295CEB"/>
    <w:rsid w:val="3D2B1C09"/>
    <w:rsid w:val="3D372DF7"/>
    <w:rsid w:val="3D412F1E"/>
    <w:rsid w:val="3D4C63C7"/>
    <w:rsid w:val="3D5C5D0B"/>
    <w:rsid w:val="3D5C74E1"/>
    <w:rsid w:val="3D626116"/>
    <w:rsid w:val="3D661F9E"/>
    <w:rsid w:val="3D697B45"/>
    <w:rsid w:val="3D6B1CC2"/>
    <w:rsid w:val="3D7224BB"/>
    <w:rsid w:val="3D794F2B"/>
    <w:rsid w:val="3D803C2A"/>
    <w:rsid w:val="3D921760"/>
    <w:rsid w:val="3D935DC9"/>
    <w:rsid w:val="3D9C74E3"/>
    <w:rsid w:val="3D9C7BE7"/>
    <w:rsid w:val="3D9C7D4F"/>
    <w:rsid w:val="3D9F4DE4"/>
    <w:rsid w:val="3DA73AC3"/>
    <w:rsid w:val="3DAB3355"/>
    <w:rsid w:val="3DAB6840"/>
    <w:rsid w:val="3DB260AE"/>
    <w:rsid w:val="3DBA16D5"/>
    <w:rsid w:val="3DBC0EC9"/>
    <w:rsid w:val="3DC76976"/>
    <w:rsid w:val="3DDA4C2C"/>
    <w:rsid w:val="3DDC561B"/>
    <w:rsid w:val="3DDC71EA"/>
    <w:rsid w:val="3DE906D1"/>
    <w:rsid w:val="3DE92602"/>
    <w:rsid w:val="3DEA7231"/>
    <w:rsid w:val="3DEC7A38"/>
    <w:rsid w:val="3DED276E"/>
    <w:rsid w:val="3DEFE124"/>
    <w:rsid w:val="3DF3277A"/>
    <w:rsid w:val="3DF8397D"/>
    <w:rsid w:val="3DFA7DC1"/>
    <w:rsid w:val="3E04260E"/>
    <w:rsid w:val="3E045DF4"/>
    <w:rsid w:val="3E0735F6"/>
    <w:rsid w:val="3E0A10D6"/>
    <w:rsid w:val="3E0F5A7C"/>
    <w:rsid w:val="3E110F37"/>
    <w:rsid w:val="3E161447"/>
    <w:rsid w:val="3E195271"/>
    <w:rsid w:val="3E213816"/>
    <w:rsid w:val="3E233C25"/>
    <w:rsid w:val="3E2675E7"/>
    <w:rsid w:val="3E287A32"/>
    <w:rsid w:val="3E2E097B"/>
    <w:rsid w:val="3E3370B2"/>
    <w:rsid w:val="3E3434AD"/>
    <w:rsid w:val="3E370B80"/>
    <w:rsid w:val="3E3B6B03"/>
    <w:rsid w:val="3E4337BF"/>
    <w:rsid w:val="3E452CEA"/>
    <w:rsid w:val="3E4937FB"/>
    <w:rsid w:val="3E4D2593"/>
    <w:rsid w:val="3E746C96"/>
    <w:rsid w:val="3E76D872"/>
    <w:rsid w:val="3E7A29C4"/>
    <w:rsid w:val="3E7C0A8B"/>
    <w:rsid w:val="3E7E5709"/>
    <w:rsid w:val="3E814541"/>
    <w:rsid w:val="3E823D9C"/>
    <w:rsid w:val="3E9416B0"/>
    <w:rsid w:val="3E955332"/>
    <w:rsid w:val="3E972947"/>
    <w:rsid w:val="3E977B78"/>
    <w:rsid w:val="3E9926CE"/>
    <w:rsid w:val="3E9B0BD0"/>
    <w:rsid w:val="3EA831CB"/>
    <w:rsid w:val="3EAE18D7"/>
    <w:rsid w:val="3EAF3365"/>
    <w:rsid w:val="3EAF4DE2"/>
    <w:rsid w:val="3EB02CF7"/>
    <w:rsid w:val="3EB472EA"/>
    <w:rsid w:val="3EBA58E4"/>
    <w:rsid w:val="3EC171DE"/>
    <w:rsid w:val="3ED13664"/>
    <w:rsid w:val="3ED260B2"/>
    <w:rsid w:val="3EDC311B"/>
    <w:rsid w:val="3EE55D33"/>
    <w:rsid w:val="3EEC4403"/>
    <w:rsid w:val="3EEC4975"/>
    <w:rsid w:val="3EED5649"/>
    <w:rsid w:val="3EF32E4D"/>
    <w:rsid w:val="3EFDB630"/>
    <w:rsid w:val="3F0119A3"/>
    <w:rsid w:val="3F085415"/>
    <w:rsid w:val="3F0F58EA"/>
    <w:rsid w:val="3F166C0A"/>
    <w:rsid w:val="3F1B3A62"/>
    <w:rsid w:val="3F20737D"/>
    <w:rsid w:val="3F2675AA"/>
    <w:rsid w:val="3F2759A8"/>
    <w:rsid w:val="3F2B4A98"/>
    <w:rsid w:val="3F30457E"/>
    <w:rsid w:val="3F323A33"/>
    <w:rsid w:val="3F352B64"/>
    <w:rsid w:val="3F3674B2"/>
    <w:rsid w:val="3F3E0999"/>
    <w:rsid w:val="3F404C89"/>
    <w:rsid w:val="3F450FDB"/>
    <w:rsid w:val="3F4E3420"/>
    <w:rsid w:val="3F5C462C"/>
    <w:rsid w:val="3F5E78C6"/>
    <w:rsid w:val="3F635A61"/>
    <w:rsid w:val="3F681639"/>
    <w:rsid w:val="3F693A5A"/>
    <w:rsid w:val="3F70371B"/>
    <w:rsid w:val="3F750284"/>
    <w:rsid w:val="3F785B36"/>
    <w:rsid w:val="3F8F79C6"/>
    <w:rsid w:val="3F9160E8"/>
    <w:rsid w:val="3F96388E"/>
    <w:rsid w:val="3F992E13"/>
    <w:rsid w:val="3FAE571D"/>
    <w:rsid w:val="3FB07776"/>
    <w:rsid w:val="3FB266B6"/>
    <w:rsid w:val="3FB52A2F"/>
    <w:rsid w:val="3FB7B9AD"/>
    <w:rsid w:val="3FBA4B49"/>
    <w:rsid w:val="3FC82785"/>
    <w:rsid w:val="3FC82F10"/>
    <w:rsid w:val="3FD354C0"/>
    <w:rsid w:val="3FD77C27"/>
    <w:rsid w:val="3FDB01EC"/>
    <w:rsid w:val="3FDE5A2C"/>
    <w:rsid w:val="3FE70A09"/>
    <w:rsid w:val="3FEDCF66"/>
    <w:rsid w:val="3FEF5FE4"/>
    <w:rsid w:val="3FF34101"/>
    <w:rsid w:val="3FFC0C43"/>
    <w:rsid w:val="40010DA8"/>
    <w:rsid w:val="40130AB9"/>
    <w:rsid w:val="401C527C"/>
    <w:rsid w:val="401E24FE"/>
    <w:rsid w:val="402A405C"/>
    <w:rsid w:val="40366D92"/>
    <w:rsid w:val="404A4B00"/>
    <w:rsid w:val="40541512"/>
    <w:rsid w:val="405B69B7"/>
    <w:rsid w:val="406225E0"/>
    <w:rsid w:val="406A07A5"/>
    <w:rsid w:val="407435D3"/>
    <w:rsid w:val="407B46EF"/>
    <w:rsid w:val="407B7720"/>
    <w:rsid w:val="40986F7A"/>
    <w:rsid w:val="40A145F0"/>
    <w:rsid w:val="40A57F06"/>
    <w:rsid w:val="40CB1D2F"/>
    <w:rsid w:val="40D9702B"/>
    <w:rsid w:val="40DE16DE"/>
    <w:rsid w:val="40F036ED"/>
    <w:rsid w:val="40F2481C"/>
    <w:rsid w:val="40F31DB4"/>
    <w:rsid w:val="40F70084"/>
    <w:rsid w:val="40FC556D"/>
    <w:rsid w:val="410E63CA"/>
    <w:rsid w:val="411879D0"/>
    <w:rsid w:val="411B386E"/>
    <w:rsid w:val="411C5801"/>
    <w:rsid w:val="41263FC1"/>
    <w:rsid w:val="412F3AFF"/>
    <w:rsid w:val="412F4602"/>
    <w:rsid w:val="412F5C87"/>
    <w:rsid w:val="413167F0"/>
    <w:rsid w:val="41367747"/>
    <w:rsid w:val="41413401"/>
    <w:rsid w:val="41422405"/>
    <w:rsid w:val="414C0EAA"/>
    <w:rsid w:val="414E0B3E"/>
    <w:rsid w:val="414F6FF2"/>
    <w:rsid w:val="4153045F"/>
    <w:rsid w:val="41546154"/>
    <w:rsid w:val="41572F62"/>
    <w:rsid w:val="415B40DB"/>
    <w:rsid w:val="4160648B"/>
    <w:rsid w:val="41612A11"/>
    <w:rsid w:val="416A659E"/>
    <w:rsid w:val="416E52D2"/>
    <w:rsid w:val="417A4050"/>
    <w:rsid w:val="417F6B37"/>
    <w:rsid w:val="41834EAD"/>
    <w:rsid w:val="419F7587"/>
    <w:rsid w:val="41AC5BFD"/>
    <w:rsid w:val="41B24D0C"/>
    <w:rsid w:val="41B62584"/>
    <w:rsid w:val="41BD7C6A"/>
    <w:rsid w:val="41DA46A9"/>
    <w:rsid w:val="41DC6E65"/>
    <w:rsid w:val="41E21A59"/>
    <w:rsid w:val="41E32E1B"/>
    <w:rsid w:val="41E52704"/>
    <w:rsid w:val="41EB3A2C"/>
    <w:rsid w:val="41EE4E31"/>
    <w:rsid w:val="41F03646"/>
    <w:rsid w:val="41F13142"/>
    <w:rsid w:val="41F43008"/>
    <w:rsid w:val="4209746C"/>
    <w:rsid w:val="420F1061"/>
    <w:rsid w:val="4213148C"/>
    <w:rsid w:val="421319BB"/>
    <w:rsid w:val="4217286E"/>
    <w:rsid w:val="421D13C7"/>
    <w:rsid w:val="421E3260"/>
    <w:rsid w:val="42392B6D"/>
    <w:rsid w:val="423C17F5"/>
    <w:rsid w:val="4241560D"/>
    <w:rsid w:val="424A7C49"/>
    <w:rsid w:val="424B7D79"/>
    <w:rsid w:val="424E3BC6"/>
    <w:rsid w:val="42664196"/>
    <w:rsid w:val="42682B55"/>
    <w:rsid w:val="42687C4C"/>
    <w:rsid w:val="426C0E01"/>
    <w:rsid w:val="426D3625"/>
    <w:rsid w:val="42763B2F"/>
    <w:rsid w:val="427F01E0"/>
    <w:rsid w:val="42962F4C"/>
    <w:rsid w:val="429A03F4"/>
    <w:rsid w:val="42A47574"/>
    <w:rsid w:val="42A5183F"/>
    <w:rsid w:val="42A94991"/>
    <w:rsid w:val="42AC7708"/>
    <w:rsid w:val="42B55834"/>
    <w:rsid w:val="42C20EF5"/>
    <w:rsid w:val="42C24E97"/>
    <w:rsid w:val="42C85330"/>
    <w:rsid w:val="42C953BF"/>
    <w:rsid w:val="42CB5598"/>
    <w:rsid w:val="42CC3676"/>
    <w:rsid w:val="42CD0B98"/>
    <w:rsid w:val="42DC7894"/>
    <w:rsid w:val="42DD12B8"/>
    <w:rsid w:val="42E7080D"/>
    <w:rsid w:val="42EF1ECA"/>
    <w:rsid w:val="42F1358E"/>
    <w:rsid w:val="42F44D74"/>
    <w:rsid w:val="42F93A0F"/>
    <w:rsid w:val="42FA2C71"/>
    <w:rsid w:val="43001F84"/>
    <w:rsid w:val="43043A39"/>
    <w:rsid w:val="431A7B55"/>
    <w:rsid w:val="432951F6"/>
    <w:rsid w:val="432B3B3F"/>
    <w:rsid w:val="433A3B72"/>
    <w:rsid w:val="43401E67"/>
    <w:rsid w:val="434206D5"/>
    <w:rsid w:val="43627F42"/>
    <w:rsid w:val="43631EF9"/>
    <w:rsid w:val="4363310A"/>
    <w:rsid w:val="436B21D8"/>
    <w:rsid w:val="436B341D"/>
    <w:rsid w:val="437A5975"/>
    <w:rsid w:val="438A0835"/>
    <w:rsid w:val="438B52E0"/>
    <w:rsid w:val="438C45B0"/>
    <w:rsid w:val="43916981"/>
    <w:rsid w:val="439C45A4"/>
    <w:rsid w:val="43B901A7"/>
    <w:rsid w:val="43BC7EBD"/>
    <w:rsid w:val="43BE0416"/>
    <w:rsid w:val="43C64ECB"/>
    <w:rsid w:val="43CB0869"/>
    <w:rsid w:val="43D00944"/>
    <w:rsid w:val="43D25F89"/>
    <w:rsid w:val="43DD4C04"/>
    <w:rsid w:val="43E37A0E"/>
    <w:rsid w:val="43E75AC5"/>
    <w:rsid w:val="43F41C3D"/>
    <w:rsid w:val="43F44980"/>
    <w:rsid w:val="43F60B10"/>
    <w:rsid w:val="43FB6C70"/>
    <w:rsid w:val="44040CCC"/>
    <w:rsid w:val="440A3726"/>
    <w:rsid w:val="440E51B7"/>
    <w:rsid w:val="441373B9"/>
    <w:rsid w:val="4417428C"/>
    <w:rsid w:val="4419668D"/>
    <w:rsid w:val="442E6DCD"/>
    <w:rsid w:val="443F168F"/>
    <w:rsid w:val="444021F9"/>
    <w:rsid w:val="4441183E"/>
    <w:rsid w:val="44416A28"/>
    <w:rsid w:val="445A16E7"/>
    <w:rsid w:val="44695A64"/>
    <w:rsid w:val="446A1F2B"/>
    <w:rsid w:val="446B2A97"/>
    <w:rsid w:val="44785348"/>
    <w:rsid w:val="448259B3"/>
    <w:rsid w:val="44883E1A"/>
    <w:rsid w:val="448D112C"/>
    <w:rsid w:val="4494718F"/>
    <w:rsid w:val="44B37920"/>
    <w:rsid w:val="44B81C74"/>
    <w:rsid w:val="44C412E0"/>
    <w:rsid w:val="44C6239C"/>
    <w:rsid w:val="44C90E74"/>
    <w:rsid w:val="44CD7B5D"/>
    <w:rsid w:val="44D242F0"/>
    <w:rsid w:val="44E25EC8"/>
    <w:rsid w:val="44ED1AB7"/>
    <w:rsid w:val="44EF5927"/>
    <w:rsid w:val="44F1176D"/>
    <w:rsid w:val="44F33246"/>
    <w:rsid w:val="44F8684F"/>
    <w:rsid w:val="450A5E13"/>
    <w:rsid w:val="451262FD"/>
    <w:rsid w:val="4516721D"/>
    <w:rsid w:val="45194E52"/>
    <w:rsid w:val="451C6E79"/>
    <w:rsid w:val="451D4342"/>
    <w:rsid w:val="451D691D"/>
    <w:rsid w:val="451D6BCE"/>
    <w:rsid w:val="452766AE"/>
    <w:rsid w:val="452B03F2"/>
    <w:rsid w:val="452B1D79"/>
    <w:rsid w:val="4538439A"/>
    <w:rsid w:val="453C6751"/>
    <w:rsid w:val="4541256D"/>
    <w:rsid w:val="45554DA6"/>
    <w:rsid w:val="45584EB2"/>
    <w:rsid w:val="45591BF3"/>
    <w:rsid w:val="455F4AC8"/>
    <w:rsid w:val="456C373B"/>
    <w:rsid w:val="456D33B0"/>
    <w:rsid w:val="45746190"/>
    <w:rsid w:val="457A6482"/>
    <w:rsid w:val="45805174"/>
    <w:rsid w:val="45812E66"/>
    <w:rsid w:val="4583686C"/>
    <w:rsid w:val="45845D76"/>
    <w:rsid w:val="458B3FE8"/>
    <w:rsid w:val="459643F7"/>
    <w:rsid w:val="459A7348"/>
    <w:rsid w:val="459F53F5"/>
    <w:rsid w:val="45AC2415"/>
    <w:rsid w:val="45AC7BA2"/>
    <w:rsid w:val="45B413A4"/>
    <w:rsid w:val="45BA740D"/>
    <w:rsid w:val="45BE2A1A"/>
    <w:rsid w:val="45BE5366"/>
    <w:rsid w:val="45C72682"/>
    <w:rsid w:val="45CD5527"/>
    <w:rsid w:val="45CE42DE"/>
    <w:rsid w:val="45D87BEF"/>
    <w:rsid w:val="45E657C3"/>
    <w:rsid w:val="45EC5545"/>
    <w:rsid w:val="45F25875"/>
    <w:rsid w:val="45F32D90"/>
    <w:rsid w:val="45F864BD"/>
    <w:rsid w:val="45FA0300"/>
    <w:rsid w:val="45FF0F3E"/>
    <w:rsid w:val="45FF17EF"/>
    <w:rsid w:val="460075EB"/>
    <w:rsid w:val="46035A57"/>
    <w:rsid w:val="460B47C4"/>
    <w:rsid w:val="46205724"/>
    <w:rsid w:val="462264EF"/>
    <w:rsid w:val="463246FD"/>
    <w:rsid w:val="46371A60"/>
    <w:rsid w:val="464014DD"/>
    <w:rsid w:val="46401681"/>
    <w:rsid w:val="46495061"/>
    <w:rsid w:val="4649770B"/>
    <w:rsid w:val="464A6A97"/>
    <w:rsid w:val="464C72CE"/>
    <w:rsid w:val="46521EE5"/>
    <w:rsid w:val="46525093"/>
    <w:rsid w:val="4661125D"/>
    <w:rsid w:val="46720D25"/>
    <w:rsid w:val="468269BA"/>
    <w:rsid w:val="46861B61"/>
    <w:rsid w:val="46891BFD"/>
    <w:rsid w:val="46902F03"/>
    <w:rsid w:val="46966495"/>
    <w:rsid w:val="46975376"/>
    <w:rsid w:val="469E5829"/>
    <w:rsid w:val="46A132A1"/>
    <w:rsid w:val="46AF5785"/>
    <w:rsid w:val="46B00BEB"/>
    <w:rsid w:val="46B017DC"/>
    <w:rsid w:val="46B11DA1"/>
    <w:rsid w:val="46B3719C"/>
    <w:rsid w:val="46BD2CD2"/>
    <w:rsid w:val="46C7595A"/>
    <w:rsid w:val="46CA3EAC"/>
    <w:rsid w:val="46CD108A"/>
    <w:rsid w:val="46CF2B8E"/>
    <w:rsid w:val="46D039A6"/>
    <w:rsid w:val="46D1570C"/>
    <w:rsid w:val="46D835E4"/>
    <w:rsid w:val="46E90864"/>
    <w:rsid w:val="46F3301E"/>
    <w:rsid w:val="46F35F18"/>
    <w:rsid w:val="46F51A7A"/>
    <w:rsid w:val="46F61C13"/>
    <w:rsid w:val="46FA6CB1"/>
    <w:rsid w:val="470A7C30"/>
    <w:rsid w:val="47141380"/>
    <w:rsid w:val="471472EB"/>
    <w:rsid w:val="47177045"/>
    <w:rsid w:val="47230F97"/>
    <w:rsid w:val="472D330E"/>
    <w:rsid w:val="474110AE"/>
    <w:rsid w:val="474430FA"/>
    <w:rsid w:val="474D4F88"/>
    <w:rsid w:val="475340F0"/>
    <w:rsid w:val="47562583"/>
    <w:rsid w:val="475C53EC"/>
    <w:rsid w:val="476E1150"/>
    <w:rsid w:val="47787B56"/>
    <w:rsid w:val="47837970"/>
    <w:rsid w:val="47845F6A"/>
    <w:rsid w:val="478522B7"/>
    <w:rsid w:val="479376D9"/>
    <w:rsid w:val="479E02C9"/>
    <w:rsid w:val="47A76B68"/>
    <w:rsid w:val="47A76D05"/>
    <w:rsid w:val="47B47089"/>
    <w:rsid w:val="47B54119"/>
    <w:rsid w:val="47C35119"/>
    <w:rsid w:val="47CD0D99"/>
    <w:rsid w:val="47D559FD"/>
    <w:rsid w:val="47DB1730"/>
    <w:rsid w:val="47DB22FE"/>
    <w:rsid w:val="47DF492E"/>
    <w:rsid w:val="47E7533C"/>
    <w:rsid w:val="47EC7716"/>
    <w:rsid w:val="47F55F20"/>
    <w:rsid w:val="47FC24A8"/>
    <w:rsid w:val="48045892"/>
    <w:rsid w:val="480C7137"/>
    <w:rsid w:val="4810371F"/>
    <w:rsid w:val="4814777E"/>
    <w:rsid w:val="481E346C"/>
    <w:rsid w:val="482F2574"/>
    <w:rsid w:val="483D36B2"/>
    <w:rsid w:val="484A37E9"/>
    <w:rsid w:val="485C6BBC"/>
    <w:rsid w:val="485D6CD3"/>
    <w:rsid w:val="48613C9F"/>
    <w:rsid w:val="48642C1F"/>
    <w:rsid w:val="486432FB"/>
    <w:rsid w:val="4871207B"/>
    <w:rsid w:val="48751272"/>
    <w:rsid w:val="48780CF1"/>
    <w:rsid w:val="488324B7"/>
    <w:rsid w:val="488E4989"/>
    <w:rsid w:val="488F47FC"/>
    <w:rsid w:val="48905215"/>
    <w:rsid w:val="48947D88"/>
    <w:rsid w:val="48952D8E"/>
    <w:rsid w:val="489768B9"/>
    <w:rsid w:val="48990266"/>
    <w:rsid w:val="489B64E0"/>
    <w:rsid w:val="48A05398"/>
    <w:rsid w:val="48A55824"/>
    <w:rsid w:val="48AA47E4"/>
    <w:rsid w:val="48AD0D6E"/>
    <w:rsid w:val="48AF0222"/>
    <w:rsid w:val="48B118D1"/>
    <w:rsid w:val="48C32F97"/>
    <w:rsid w:val="48C82506"/>
    <w:rsid w:val="48D34DBE"/>
    <w:rsid w:val="48D42328"/>
    <w:rsid w:val="48DF2E1E"/>
    <w:rsid w:val="48E85F04"/>
    <w:rsid w:val="48EB6147"/>
    <w:rsid w:val="48EF4857"/>
    <w:rsid w:val="48F053BB"/>
    <w:rsid w:val="48F3112A"/>
    <w:rsid w:val="48F90735"/>
    <w:rsid w:val="49042FB8"/>
    <w:rsid w:val="490F71F1"/>
    <w:rsid w:val="491E1F88"/>
    <w:rsid w:val="492A51F8"/>
    <w:rsid w:val="492D76E6"/>
    <w:rsid w:val="49307255"/>
    <w:rsid w:val="49313764"/>
    <w:rsid w:val="4933374B"/>
    <w:rsid w:val="493957EA"/>
    <w:rsid w:val="493A0A08"/>
    <w:rsid w:val="494224B8"/>
    <w:rsid w:val="494275AE"/>
    <w:rsid w:val="494707A3"/>
    <w:rsid w:val="49485C35"/>
    <w:rsid w:val="495D3DC1"/>
    <w:rsid w:val="49617F11"/>
    <w:rsid w:val="49627A95"/>
    <w:rsid w:val="496B39E2"/>
    <w:rsid w:val="49721D88"/>
    <w:rsid w:val="497929CF"/>
    <w:rsid w:val="497C0DC1"/>
    <w:rsid w:val="497E39DE"/>
    <w:rsid w:val="497E4960"/>
    <w:rsid w:val="49856A68"/>
    <w:rsid w:val="49870AFA"/>
    <w:rsid w:val="49891DB7"/>
    <w:rsid w:val="498A3DFA"/>
    <w:rsid w:val="499450B3"/>
    <w:rsid w:val="4994719C"/>
    <w:rsid w:val="49964DD5"/>
    <w:rsid w:val="49994538"/>
    <w:rsid w:val="49994B15"/>
    <w:rsid w:val="499969AB"/>
    <w:rsid w:val="49A26F46"/>
    <w:rsid w:val="49A51C8E"/>
    <w:rsid w:val="49A71AE5"/>
    <w:rsid w:val="49A94277"/>
    <w:rsid w:val="49AF1190"/>
    <w:rsid w:val="49B44777"/>
    <w:rsid w:val="49BA19D7"/>
    <w:rsid w:val="49BB114E"/>
    <w:rsid w:val="49BC645D"/>
    <w:rsid w:val="49C9661F"/>
    <w:rsid w:val="49D071F1"/>
    <w:rsid w:val="49D71A3A"/>
    <w:rsid w:val="49DB050B"/>
    <w:rsid w:val="49DD728F"/>
    <w:rsid w:val="49E62680"/>
    <w:rsid w:val="49E72BDC"/>
    <w:rsid w:val="49EA7937"/>
    <w:rsid w:val="49F028E0"/>
    <w:rsid w:val="49F43609"/>
    <w:rsid w:val="49FB081B"/>
    <w:rsid w:val="49FB25F1"/>
    <w:rsid w:val="4A065FDF"/>
    <w:rsid w:val="4A0B14BE"/>
    <w:rsid w:val="4A0B3E80"/>
    <w:rsid w:val="4A0C125A"/>
    <w:rsid w:val="4A0E15C8"/>
    <w:rsid w:val="4A10048D"/>
    <w:rsid w:val="4A1D0F7A"/>
    <w:rsid w:val="4A1E2952"/>
    <w:rsid w:val="4A2234C7"/>
    <w:rsid w:val="4A2B42BD"/>
    <w:rsid w:val="4A2B5503"/>
    <w:rsid w:val="4A2E2790"/>
    <w:rsid w:val="4A3A5F22"/>
    <w:rsid w:val="4A480433"/>
    <w:rsid w:val="4A4D3C6C"/>
    <w:rsid w:val="4A6253CB"/>
    <w:rsid w:val="4A6927CE"/>
    <w:rsid w:val="4A7D1D31"/>
    <w:rsid w:val="4A847C04"/>
    <w:rsid w:val="4A865E58"/>
    <w:rsid w:val="4A9449E8"/>
    <w:rsid w:val="4A9E31C7"/>
    <w:rsid w:val="4AAD74CC"/>
    <w:rsid w:val="4ABA375D"/>
    <w:rsid w:val="4AC25DDB"/>
    <w:rsid w:val="4AC51770"/>
    <w:rsid w:val="4AC86E3C"/>
    <w:rsid w:val="4ACFD35C"/>
    <w:rsid w:val="4AD0632C"/>
    <w:rsid w:val="4ADB024C"/>
    <w:rsid w:val="4ADF4A04"/>
    <w:rsid w:val="4AE05C37"/>
    <w:rsid w:val="4AE87EF3"/>
    <w:rsid w:val="4AFF57A0"/>
    <w:rsid w:val="4B0222FB"/>
    <w:rsid w:val="4B070135"/>
    <w:rsid w:val="4B0F34C3"/>
    <w:rsid w:val="4B1576F3"/>
    <w:rsid w:val="4B2731A5"/>
    <w:rsid w:val="4B360CA0"/>
    <w:rsid w:val="4B3E7214"/>
    <w:rsid w:val="4B44389C"/>
    <w:rsid w:val="4B465D0E"/>
    <w:rsid w:val="4B500FBC"/>
    <w:rsid w:val="4B51247A"/>
    <w:rsid w:val="4B553168"/>
    <w:rsid w:val="4B5F746A"/>
    <w:rsid w:val="4B644B6E"/>
    <w:rsid w:val="4B6A4E3B"/>
    <w:rsid w:val="4B7052C7"/>
    <w:rsid w:val="4B733C5D"/>
    <w:rsid w:val="4B766759"/>
    <w:rsid w:val="4B7C3483"/>
    <w:rsid w:val="4B893B8A"/>
    <w:rsid w:val="4B8A766E"/>
    <w:rsid w:val="4B9C0FA4"/>
    <w:rsid w:val="4B9D19A5"/>
    <w:rsid w:val="4BBC7F50"/>
    <w:rsid w:val="4BC17D85"/>
    <w:rsid w:val="4BC31389"/>
    <w:rsid w:val="4BD22EDF"/>
    <w:rsid w:val="4BD42EDC"/>
    <w:rsid w:val="4BE198BA"/>
    <w:rsid w:val="4BE3154E"/>
    <w:rsid w:val="4BE61D31"/>
    <w:rsid w:val="4BEC3947"/>
    <w:rsid w:val="4BFA060C"/>
    <w:rsid w:val="4C01015B"/>
    <w:rsid w:val="4C0479CE"/>
    <w:rsid w:val="4C176BC6"/>
    <w:rsid w:val="4C1B1631"/>
    <w:rsid w:val="4C1B5304"/>
    <w:rsid w:val="4C1B72E7"/>
    <w:rsid w:val="4C1C1F65"/>
    <w:rsid w:val="4C22424A"/>
    <w:rsid w:val="4C272839"/>
    <w:rsid w:val="4C2A2BB8"/>
    <w:rsid w:val="4C2B166D"/>
    <w:rsid w:val="4C2D2E4F"/>
    <w:rsid w:val="4C2D72A5"/>
    <w:rsid w:val="4C2E589B"/>
    <w:rsid w:val="4C350015"/>
    <w:rsid w:val="4C375EA1"/>
    <w:rsid w:val="4C3C7C87"/>
    <w:rsid w:val="4C424792"/>
    <w:rsid w:val="4C504585"/>
    <w:rsid w:val="4C566AB8"/>
    <w:rsid w:val="4C577AB7"/>
    <w:rsid w:val="4C5904D7"/>
    <w:rsid w:val="4C6C3DA3"/>
    <w:rsid w:val="4C7154D0"/>
    <w:rsid w:val="4C790F23"/>
    <w:rsid w:val="4C7925D2"/>
    <w:rsid w:val="4C8245B0"/>
    <w:rsid w:val="4C8347F8"/>
    <w:rsid w:val="4C863110"/>
    <w:rsid w:val="4C8D1F8F"/>
    <w:rsid w:val="4CA36DF1"/>
    <w:rsid w:val="4CAE0D95"/>
    <w:rsid w:val="4CBA06D4"/>
    <w:rsid w:val="4CBA10CB"/>
    <w:rsid w:val="4CC12BE0"/>
    <w:rsid w:val="4CCA1913"/>
    <w:rsid w:val="4CD45F49"/>
    <w:rsid w:val="4CDA60FF"/>
    <w:rsid w:val="4CEA5424"/>
    <w:rsid w:val="4CEC3C0A"/>
    <w:rsid w:val="4CEE4CBB"/>
    <w:rsid w:val="4CF02834"/>
    <w:rsid w:val="4CF527BF"/>
    <w:rsid w:val="4CF7206F"/>
    <w:rsid w:val="4D000B99"/>
    <w:rsid w:val="4D070D9A"/>
    <w:rsid w:val="4D076CF6"/>
    <w:rsid w:val="4D106337"/>
    <w:rsid w:val="4D111596"/>
    <w:rsid w:val="4D1332A6"/>
    <w:rsid w:val="4D16248A"/>
    <w:rsid w:val="4D2772AE"/>
    <w:rsid w:val="4D317C62"/>
    <w:rsid w:val="4D3D2579"/>
    <w:rsid w:val="4D4E7D77"/>
    <w:rsid w:val="4D5A7C22"/>
    <w:rsid w:val="4D5C74F5"/>
    <w:rsid w:val="4D632858"/>
    <w:rsid w:val="4D6412B2"/>
    <w:rsid w:val="4D646D2F"/>
    <w:rsid w:val="4D6C0EFF"/>
    <w:rsid w:val="4D7D11B1"/>
    <w:rsid w:val="4D833718"/>
    <w:rsid w:val="4D852A7F"/>
    <w:rsid w:val="4D86234D"/>
    <w:rsid w:val="4D89150A"/>
    <w:rsid w:val="4D896AAB"/>
    <w:rsid w:val="4D8B25FA"/>
    <w:rsid w:val="4D941C0B"/>
    <w:rsid w:val="4DA36B48"/>
    <w:rsid w:val="4DA611C9"/>
    <w:rsid w:val="4DA61737"/>
    <w:rsid w:val="4DAA2F1E"/>
    <w:rsid w:val="4DAC4A4D"/>
    <w:rsid w:val="4DAD45AB"/>
    <w:rsid w:val="4DB84D64"/>
    <w:rsid w:val="4DBB5F38"/>
    <w:rsid w:val="4DC4607F"/>
    <w:rsid w:val="4DC80C04"/>
    <w:rsid w:val="4DC96400"/>
    <w:rsid w:val="4DD42F7A"/>
    <w:rsid w:val="4DDA5AB5"/>
    <w:rsid w:val="4DDC1174"/>
    <w:rsid w:val="4DDC5F80"/>
    <w:rsid w:val="4DE244DC"/>
    <w:rsid w:val="4DED3507"/>
    <w:rsid w:val="4DED59D8"/>
    <w:rsid w:val="4DEE0BA6"/>
    <w:rsid w:val="4DF3379E"/>
    <w:rsid w:val="4DFE2BC0"/>
    <w:rsid w:val="4E017AF8"/>
    <w:rsid w:val="4E053E33"/>
    <w:rsid w:val="4E0F3079"/>
    <w:rsid w:val="4E136796"/>
    <w:rsid w:val="4E137F97"/>
    <w:rsid w:val="4E155F51"/>
    <w:rsid w:val="4E161CDB"/>
    <w:rsid w:val="4E2719DE"/>
    <w:rsid w:val="4E274868"/>
    <w:rsid w:val="4E293BFF"/>
    <w:rsid w:val="4E317A5B"/>
    <w:rsid w:val="4E32646C"/>
    <w:rsid w:val="4E3C091D"/>
    <w:rsid w:val="4E417944"/>
    <w:rsid w:val="4E4361B3"/>
    <w:rsid w:val="4E4C3DFB"/>
    <w:rsid w:val="4E4E5217"/>
    <w:rsid w:val="4E4F5C66"/>
    <w:rsid w:val="4E56224C"/>
    <w:rsid w:val="4E6661C9"/>
    <w:rsid w:val="4E6733A5"/>
    <w:rsid w:val="4E67415E"/>
    <w:rsid w:val="4E69167C"/>
    <w:rsid w:val="4E7439DF"/>
    <w:rsid w:val="4E7A05C3"/>
    <w:rsid w:val="4E850A83"/>
    <w:rsid w:val="4E864833"/>
    <w:rsid w:val="4E89095B"/>
    <w:rsid w:val="4E8E7512"/>
    <w:rsid w:val="4E8F722D"/>
    <w:rsid w:val="4EA932FE"/>
    <w:rsid w:val="4EAC78C0"/>
    <w:rsid w:val="4EAD02DF"/>
    <w:rsid w:val="4EAE0C37"/>
    <w:rsid w:val="4EAE4D4D"/>
    <w:rsid w:val="4EB46637"/>
    <w:rsid w:val="4EBE7FEA"/>
    <w:rsid w:val="4EBFB325"/>
    <w:rsid w:val="4EC1332E"/>
    <w:rsid w:val="4EC2456A"/>
    <w:rsid w:val="4EC81BF7"/>
    <w:rsid w:val="4EC847BA"/>
    <w:rsid w:val="4EE03590"/>
    <w:rsid w:val="4EE450CC"/>
    <w:rsid w:val="4EE67D8A"/>
    <w:rsid w:val="4EEC0D10"/>
    <w:rsid w:val="4EFB1846"/>
    <w:rsid w:val="4EFC3CE7"/>
    <w:rsid w:val="4F0024E4"/>
    <w:rsid w:val="4F01550E"/>
    <w:rsid w:val="4F071A2A"/>
    <w:rsid w:val="4F2D7545"/>
    <w:rsid w:val="4F3019E1"/>
    <w:rsid w:val="4F4C3DD2"/>
    <w:rsid w:val="4F531CF2"/>
    <w:rsid w:val="4F541BD1"/>
    <w:rsid w:val="4F5A2A02"/>
    <w:rsid w:val="4F671B40"/>
    <w:rsid w:val="4F732E08"/>
    <w:rsid w:val="4F755ABA"/>
    <w:rsid w:val="4F7741BE"/>
    <w:rsid w:val="4F7D7B6F"/>
    <w:rsid w:val="4F88708C"/>
    <w:rsid w:val="4F9471C8"/>
    <w:rsid w:val="4F9C59BD"/>
    <w:rsid w:val="4FA554D0"/>
    <w:rsid w:val="4FA74373"/>
    <w:rsid w:val="4FB50C3D"/>
    <w:rsid w:val="4FB70C9E"/>
    <w:rsid w:val="4FBC6C28"/>
    <w:rsid w:val="4FC2174E"/>
    <w:rsid w:val="4FC95D22"/>
    <w:rsid w:val="4FC96BDD"/>
    <w:rsid w:val="4FD84FFC"/>
    <w:rsid w:val="4FEE56C6"/>
    <w:rsid w:val="4FEF62BA"/>
    <w:rsid w:val="4FF223AF"/>
    <w:rsid w:val="4FF3250C"/>
    <w:rsid w:val="4FF4635F"/>
    <w:rsid w:val="4FF52176"/>
    <w:rsid w:val="4FFF3ACF"/>
    <w:rsid w:val="50014F85"/>
    <w:rsid w:val="500801EE"/>
    <w:rsid w:val="501577E6"/>
    <w:rsid w:val="501B12FA"/>
    <w:rsid w:val="501F49FD"/>
    <w:rsid w:val="502913D8"/>
    <w:rsid w:val="502A3FE7"/>
    <w:rsid w:val="50395BDF"/>
    <w:rsid w:val="50437F47"/>
    <w:rsid w:val="504E0A1C"/>
    <w:rsid w:val="504F5E58"/>
    <w:rsid w:val="5050366A"/>
    <w:rsid w:val="50524B42"/>
    <w:rsid w:val="505F6968"/>
    <w:rsid w:val="50674DF4"/>
    <w:rsid w:val="506812DC"/>
    <w:rsid w:val="507546FB"/>
    <w:rsid w:val="5087340C"/>
    <w:rsid w:val="50945719"/>
    <w:rsid w:val="50957357"/>
    <w:rsid w:val="50985A88"/>
    <w:rsid w:val="509C6BA1"/>
    <w:rsid w:val="509D641C"/>
    <w:rsid w:val="50A0282F"/>
    <w:rsid w:val="50A33D09"/>
    <w:rsid w:val="50A77B3B"/>
    <w:rsid w:val="50A97965"/>
    <w:rsid w:val="50B131BD"/>
    <w:rsid w:val="50B8301B"/>
    <w:rsid w:val="50B96C00"/>
    <w:rsid w:val="50CC0E90"/>
    <w:rsid w:val="50CD0B1D"/>
    <w:rsid w:val="50DC2512"/>
    <w:rsid w:val="50DE4D41"/>
    <w:rsid w:val="50E47B0A"/>
    <w:rsid w:val="50ED166F"/>
    <w:rsid w:val="50F12DEB"/>
    <w:rsid w:val="50F24353"/>
    <w:rsid w:val="50FA1F48"/>
    <w:rsid w:val="50FB0C27"/>
    <w:rsid w:val="50FF230B"/>
    <w:rsid w:val="50FF6F1E"/>
    <w:rsid w:val="51082401"/>
    <w:rsid w:val="510B0A7B"/>
    <w:rsid w:val="510B1E42"/>
    <w:rsid w:val="510D415F"/>
    <w:rsid w:val="5116134F"/>
    <w:rsid w:val="5118245E"/>
    <w:rsid w:val="51191774"/>
    <w:rsid w:val="511E0724"/>
    <w:rsid w:val="512013C3"/>
    <w:rsid w:val="51220351"/>
    <w:rsid w:val="51224F3F"/>
    <w:rsid w:val="51296729"/>
    <w:rsid w:val="512970B2"/>
    <w:rsid w:val="51323A6D"/>
    <w:rsid w:val="513736F6"/>
    <w:rsid w:val="513D5280"/>
    <w:rsid w:val="514D7F52"/>
    <w:rsid w:val="514F62E4"/>
    <w:rsid w:val="51515572"/>
    <w:rsid w:val="5157778E"/>
    <w:rsid w:val="5158272B"/>
    <w:rsid w:val="516F0D9A"/>
    <w:rsid w:val="51832318"/>
    <w:rsid w:val="518971ED"/>
    <w:rsid w:val="51967504"/>
    <w:rsid w:val="51A100F9"/>
    <w:rsid w:val="51A134CC"/>
    <w:rsid w:val="51B10993"/>
    <w:rsid w:val="51B31CDE"/>
    <w:rsid w:val="51B5657C"/>
    <w:rsid w:val="51B97320"/>
    <w:rsid w:val="51CB2862"/>
    <w:rsid w:val="51D35AC5"/>
    <w:rsid w:val="51DF5EE2"/>
    <w:rsid w:val="51E10EC5"/>
    <w:rsid w:val="51E11A88"/>
    <w:rsid w:val="51E4639C"/>
    <w:rsid w:val="51FE1EB4"/>
    <w:rsid w:val="520157DD"/>
    <w:rsid w:val="52042995"/>
    <w:rsid w:val="52087915"/>
    <w:rsid w:val="520F474A"/>
    <w:rsid w:val="521366A5"/>
    <w:rsid w:val="521427E5"/>
    <w:rsid w:val="52153D05"/>
    <w:rsid w:val="52203C7C"/>
    <w:rsid w:val="52204E3C"/>
    <w:rsid w:val="522119F4"/>
    <w:rsid w:val="5222456F"/>
    <w:rsid w:val="522409F1"/>
    <w:rsid w:val="522916A8"/>
    <w:rsid w:val="523E0171"/>
    <w:rsid w:val="52443F13"/>
    <w:rsid w:val="52465F54"/>
    <w:rsid w:val="52527F91"/>
    <w:rsid w:val="5255718B"/>
    <w:rsid w:val="52626852"/>
    <w:rsid w:val="52647786"/>
    <w:rsid w:val="52660409"/>
    <w:rsid w:val="52691CEF"/>
    <w:rsid w:val="527A116F"/>
    <w:rsid w:val="52826223"/>
    <w:rsid w:val="52833F88"/>
    <w:rsid w:val="528D054C"/>
    <w:rsid w:val="5291550A"/>
    <w:rsid w:val="529156DF"/>
    <w:rsid w:val="529A1137"/>
    <w:rsid w:val="52A622E2"/>
    <w:rsid w:val="52AC685B"/>
    <w:rsid w:val="52AD5191"/>
    <w:rsid w:val="52B1645E"/>
    <w:rsid w:val="52C418D2"/>
    <w:rsid w:val="52C41EA5"/>
    <w:rsid w:val="52C45067"/>
    <w:rsid w:val="52C836EB"/>
    <w:rsid w:val="52D16561"/>
    <w:rsid w:val="52D9769B"/>
    <w:rsid w:val="52DB3C85"/>
    <w:rsid w:val="52DE7FEB"/>
    <w:rsid w:val="52E129E7"/>
    <w:rsid w:val="52E701B7"/>
    <w:rsid w:val="52E82EC3"/>
    <w:rsid w:val="52EE34B2"/>
    <w:rsid w:val="52FB1613"/>
    <w:rsid w:val="53084914"/>
    <w:rsid w:val="532B1F08"/>
    <w:rsid w:val="533C5A79"/>
    <w:rsid w:val="53455292"/>
    <w:rsid w:val="53461A42"/>
    <w:rsid w:val="53461D72"/>
    <w:rsid w:val="53483DF3"/>
    <w:rsid w:val="53485467"/>
    <w:rsid w:val="534A7FE3"/>
    <w:rsid w:val="534F794F"/>
    <w:rsid w:val="53502C2C"/>
    <w:rsid w:val="53621C23"/>
    <w:rsid w:val="53653D3E"/>
    <w:rsid w:val="536900F0"/>
    <w:rsid w:val="536D1C35"/>
    <w:rsid w:val="536EFD05"/>
    <w:rsid w:val="53750EF7"/>
    <w:rsid w:val="5390208E"/>
    <w:rsid w:val="53917015"/>
    <w:rsid w:val="539B1075"/>
    <w:rsid w:val="53A37B0D"/>
    <w:rsid w:val="53A86CFC"/>
    <w:rsid w:val="53AC17E0"/>
    <w:rsid w:val="53AC42AC"/>
    <w:rsid w:val="53B275F6"/>
    <w:rsid w:val="53B612F2"/>
    <w:rsid w:val="53B724AF"/>
    <w:rsid w:val="53BC1D1A"/>
    <w:rsid w:val="53BC7D8A"/>
    <w:rsid w:val="53C3550A"/>
    <w:rsid w:val="53CF4463"/>
    <w:rsid w:val="53D75012"/>
    <w:rsid w:val="53DB0468"/>
    <w:rsid w:val="53F342C8"/>
    <w:rsid w:val="53F84C14"/>
    <w:rsid w:val="53FB3F6A"/>
    <w:rsid w:val="54045D31"/>
    <w:rsid w:val="540463E4"/>
    <w:rsid w:val="540817BB"/>
    <w:rsid w:val="540E41E7"/>
    <w:rsid w:val="54106CA6"/>
    <w:rsid w:val="54123EA6"/>
    <w:rsid w:val="541F126E"/>
    <w:rsid w:val="54230505"/>
    <w:rsid w:val="542B7D85"/>
    <w:rsid w:val="543512B2"/>
    <w:rsid w:val="5438056D"/>
    <w:rsid w:val="543D38C7"/>
    <w:rsid w:val="544B19FF"/>
    <w:rsid w:val="544B51E5"/>
    <w:rsid w:val="544C3429"/>
    <w:rsid w:val="54523A54"/>
    <w:rsid w:val="54545D5F"/>
    <w:rsid w:val="5456436D"/>
    <w:rsid w:val="546537C4"/>
    <w:rsid w:val="54667494"/>
    <w:rsid w:val="547D04CD"/>
    <w:rsid w:val="547F5A6B"/>
    <w:rsid w:val="5491674B"/>
    <w:rsid w:val="54A4171E"/>
    <w:rsid w:val="54A57BB3"/>
    <w:rsid w:val="54B906EA"/>
    <w:rsid w:val="54BF419A"/>
    <w:rsid w:val="54C96C6D"/>
    <w:rsid w:val="54CD26B0"/>
    <w:rsid w:val="54E10573"/>
    <w:rsid w:val="54E90C9C"/>
    <w:rsid w:val="54F07918"/>
    <w:rsid w:val="54F43B90"/>
    <w:rsid w:val="54F5C789"/>
    <w:rsid w:val="55066F08"/>
    <w:rsid w:val="5507381A"/>
    <w:rsid w:val="550E01BD"/>
    <w:rsid w:val="551415E2"/>
    <w:rsid w:val="551A6C6B"/>
    <w:rsid w:val="55235E30"/>
    <w:rsid w:val="55432EB8"/>
    <w:rsid w:val="55463F5B"/>
    <w:rsid w:val="55475B0D"/>
    <w:rsid w:val="5548157C"/>
    <w:rsid w:val="554863B8"/>
    <w:rsid w:val="5555770C"/>
    <w:rsid w:val="55560268"/>
    <w:rsid w:val="55661533"/>
    <w:rsid w:val="556F5E1A"/>
    <w:rsid w:val="55741056"/>
    <w:rsid w:val="55791361"/>
    <w:rsid w:val="557B6B2B"/>
    <w:rsid w:val="558351D1"/>
    <w:rsid w:val="55877DF9"/>
    <w:rsid w:val="558A4132"/>
    <w:rsid w:val="559F173A"/>
    <w:rsid w:val="55AC2A2D"/>
    <w:rsid w:val="55B0300F"/>
    <w:rsid w:val="55B10E0C"/>
    <w:rsid w:val="55B62D99"/>
    <w:rsid w:val="55BD63A9"/>
    <w:rsid w:val="55C30B41"/>
    <w:rsid w:val="55C946A6"/>
    <w:rsid w:val="55CB06E3"/>
    <w:rsid w:val="55CC0B49"/>
    <w:rsid w:val="55CD4167"/>
    <w:rsid w:val="55D53A3D"/>
    <w:rsid w:val="55D66F30"/>
    <w:rsid w:val="55D8703F"/>
    <w:rsid w:val="55DA611C"/>
    <w:rsid w:val="55E15A70"/>
    <w:rsid w:val="55F71FB9"/>
    <w:rsid w:val="55F93187"/>
    <w:rsid w:val="560D181B"/>
    <w:rsid w:val="561815A2"/>
    <w:rsid w:val="561977E3"/>
    <w:rsid w:val="5630661A"/>
    <w:rsid w:val="563B18C7"/>
    <w:rsid w:val="56494199"/>
    <w:rsid w:val="56555837"/>
    <w:rsid w:val="56581D07"/>
    <w:rsid w:val="565E398E"/>
    <w:rsid w:val="565F4B00"/>
    <w:rsid w:val="56611F01"/>
    <w:rsid w:val="56791DE5"/>
    <w:rsid w:val="56A11192"/>
    <w:rsid w:val="56AC7BCD"/>
    <w:rsid w:val="56B87265"/>
    <w:rsid w:val="56C2705A"/>
    <w:rsid w:val="56DA7B4D"/>
    <w:rsid w:val="56E21353"/>
    <w:rsid w:val="56F23A4F"/>
    <w:rsid w:val="56F718D3"/>
    <w:rsid w:val="56FA6595"/>
    <w:rsid w:val="56FF2BE5"/>
    <w:rsid w:val="57000B67"/>
    <w:rsid w:val="57002D2C"/>
    <w:rsid w:val="57006A64"/>
    <w:rsid w:val="570850AA"/>
    <w:rsid w:val="570A3450"/>
    <w:rsid w:val="57155229"/>
    <w:rsid w:val="57200B63"/>
    <w:rsid w:val="57213C62"/>
    <w:rsid w:val="5723178A"/>
    <w:rsid w:val="57255484"/>
    <w:rsid w:val="572E3655"/>
    <w:rsid w:val="572F1200"/>
    <w:rsid w:val="5730000D"/>
    <w:rsid w:val="57340D8E"/>
    <w:rsid w:val="573B2D6F"/>
    <w:rsid w:val="5740796C"/>
    <w:rsid w:val="574166D2"/>
    <w:rsid w:val="5749576E"/>
    <w:rsid w:val="575B25B7"/>
    <w:rsid w:val="57636C94"/>
    <w:rsid w:val="576471A6"/>
    <w:rsid w:val="576724ED"/>
    <w:rsid w:val="57695050"/>
    <w:rsid w:val="576F67EC"/>
    <w:rsid w:val="57882CFD"/>
    <w:rsid w:val="57950F4C"/>
    <w:rsid w:val="57952103"/>
    <w:rsid w:val="57966FD7"/>
    <w:rsid w:val="5797100C"/>
    <w:rsid w:val="579A6E67"/>
    <w:rsid w:val="57A501B2"/>
    <w:rsid w:val="57A50274"/>
    <w:rsid w:val="57A61C5F"/>
    <w:rsid w:val="57A646D9"/>
    <w:rsid w:val="57AA2D40"/>
    <w:rsid w:val="57AD6BB5"/>
    <w:rsid w:val="57AD6F26"/>
    <w:rsid w:val="57AF32E4"/>
    <w:rsid w:val="57B152DB"/>
    <w:rsid w:val="57B64263"/>
    <w:rsid w:val="57BA517D"/>
    <w:rsid w:val="57BF2AC3"/>
    <w:rsid w:val="57C156C8"/>
    <w:rsid w:val="57C17085"/>
    <w:rsid w:val="57C31E4A"/>
    <w:rsid w:val="57F10061"/>
    <w:rsid w:val="58187012"/>
    <w:rsid w:val="582E41C9"/>
    <w:rsid w:val="583120BF"/>
    <w:rsid w:val="58367BFA"/>
    <w:rsid w:val="5839331D"/>
    <w:rsid w:val="583969CB"/>
    <w:rsid w:val="584302DC"/>
    <w:rsid w:val="58477C34"/>
    <w:rsid w:val="584D0815"/>
    <w:rsid w:val="585760A2"/>
    <w:rsid w:val="586324DA"/>
    <w:rsid w:val="58663D34"/>
    <w:rsid w:val="58683E50"/>
    <w:rsid w:val="58696917"/>
    <w:rsid w:val="586C6EBC"/>
    <w:rsid w:val="588102A4"/>
    <w:rsid w:val="58824593"/>
    <w:rsid w:val="588805DE"/>
    <w:rsid w:val="58922414"/>
    <w:rsid w:val="58922742"/>
    <w:rsid w:val="589E1A25"/>
    <w:rsid w:val="58A558F7"/>
    <w:rsid w:val="58A573F5"/>
    <w:rsid w:val="58AA5221"/>
    <w:rsid w:val="58B606CF"/>
    <w:rsid w:val="58CC34B4"/>
    <w:rsid w:val="58CC409F"/>
    <w:rsid w:val="58CD4299"/>
    <w:rsid w:val="58D300C1"/>
    <w:rsid w:val="58DE775E"/>
    <w:rsid w:val="58E440FE"/>
    <w:rsid w:val="58E73BE7"/>
    <w:rsid w:val="58E95FEA"/>
    <w:rsid w:val="58F92870"/>
    <w:rsid w:val="58FC58DC"/>
    <w:rsid w:val="590609C7"/>
    <w:rsid w:val="590A1350"/>
    <w:rsid w:val="590C1FEF"/>
    <w:rsid w:val="59174765"/>
    <w:rsid w:val="591F3D4C"/>
    <w:rsid w:val="592F6B1D"/>
    <w:rsid w:val="5932025B"/>
    <w:rsid w:val="593B4D1E"/>
    <w:rsid w:val="593C7301"/>
    <w:rsid w:val="5957333B"/>
    <w:rsid w:val="596003EE"/>
    <w:rsid w:val="59641F24"/>
    <w:rsid w:val="59681C3C"/>
    <w:rsid w:val="596C65FC"/>
    <w:rsid w:val="59741E09"/>
    <w:rsid w:val="59747622"/>
    <w:rsid w:val="59767BF5"/>
    <w:rsid w:val="59771D9E"/>
    <w:rsid w:val="5979418C"/>
    <w:rsid w:val="597E0270"/>
    <w:rsid w:val="5986345F"/>
    <w:rsid w:val="598C7E42"/>
    <w:rsid w:val="5995408F"/>
    <w:rsid w:val="5998557D"/>
    <w:rsid w:val="599A76C2"/>
    <w:rsid w:val="599C0813"/>
    <w:rsid w:val="599F0359"/>
    <w:rsid w:val="59A607BC"/>
    <w:rsid w:val="59AE3C0F"/>
    <w:rsid w:val="59B07300"/>
    <w:rsid w:val="59B07FB1"/>
    <w:rsid w:val="59B57FA8"/>
    <w:rsid w:val="59BE09ED"/>
    <w:rsid w:val="59C406D1"/>
    <w:rsid w:val="59D05500"/>
    <w:rsid w:val="59DD28A6"/>
    <w:rsid w:val="59DD4297"/>
    <w:rsid w:val="59E75A1E"/>
    <w:rsid w:val="59EB6439"/>
    <w:rsid w:val="59F4357E"/>
    <w:rsid w:val="59F827D9"/>
    <w:rsid w:val="59FA6429"/>
    <w:rsid w:val="59FD602A"/>
    <w:rsid w:val="59FF65F2"/>
    <w:rsid w:val="5A041AD7"/>
    <w:rsid w:val="5A070E9C"/>
    <w:rsid w:val="5A0B0154"/>
    <w:rsid w:val="5A0D6618"/>
    <w:rsid w:val="5A251C8F"/>
    <w:rsid w:val="5A2B0594"/>
    <w:rsid w:val="5A367E74"/>
    <w:rsid w:val="5A5058CB"/>
    <w:rsid w:val="5A555F76"/>
    <w:rsid w:val="5A662199"/>
    <w:rsid w:val="5A6760B5"/>
    <w:rsid w:val="5A6B46D9"/>
    <w:rsid w:val="5A7652F3"/>
    <w:rsid w:val="5A7E7A8F"/>
    <w:rsid w:val="5A836FDF"/>
    <w:rsid w:val="5A8A56BF"/>
    <w:rsid w:val="5A8C18DD"/>
    <w:rsid w:val="5A8F5646"/>
    <w:rsid w:val="5A94004B"/>
    <w:rsid w:val="5A98006A"/>
    <w:rsid w:val="5AA07A36"/>
    <w:rsid w:val="5AA258CA"/>
    <w:rsid w:val="5AA61CC7"/>
    <w:rsid w:val="5AA90BDD"/>
    <w:rsid w:val="5AAB6BA6"/>
    <w:rsid w:val="5AB87E0B"/>
    <w:rsid w:val="5AC05D65"/>
    <w:rsid w:val="5AC9244F"/>
    <w:rsid w:val="5ACA6932"/>
    <w:rsid w:val="5ADE2BBA"/>
    <w:rsid w:val="5AE802C5"/>
    <w:rsid w:val="5AEA6B64"/>
    <w:rsid w:val="5AEE6466"/>
    <w:rsid w:val="5AF13B36"/>
    <w:rsid w:val="5AF74542"/>
    <w:rsid w:val="5AF97841"/>
    <w:rsid w:val="5AFC1DFF"/>
    <w:rsid w:val="5B02167F"/>
    <w:rsid w:val="5B0369CA"/>
    <w:rsid w:val="5B093548"/>
    <w:rsid w:val="5B09715C"/>
    <w:rsid w:val="5B0E549E"/>
    <w:rsid w:val="5B130D39"/>
    <w:rsid w:val="5B1A68F5"/>
    <w:rsid w:val="5B1D34B1"/>
    <w:rsid w:val="5B2B7067"/>
    <w:rsid w:val="5B2F694C"/>
    <w:rsid w:val="5B304F60"/>
    <w:rsid w:val="5B32089C"/>
    <w:rsid w:val="5B39513D"/>
    <w:rsid w:val="5B3E3807"/>
    <w:rsid w:val="5B3FCAD4"/>
    <w:rsid w:val="5B443E3A"/>
    <w:rsid w:val="5B4F1FDC"/>
    <w:rsid w:val="5B681D19"/>
    <w:rsid w:val="5B685FE2"/>
    <w:rsid w:val="5B6A0AD0"/>
    <w:rsid w:val="5B6E342D"/>
    <w:rsid w:val="5B7F6D96"/>
    <w:rsid w:val="5B8158C8"/>
    <w:rsid w:val="5B8541C5"/>
    <w:rsid w:val="5B8A7460"/>
    <w:rsid w:val="5B8B09AB"/>
    <w:rsid w:val="5B923CD5"/>
    <w:rsid w:val="5B9D3914"/>
    <w:rsid w:val="5BAB4D57"/>
    <w:rsid w:val="5BB02991"/>
    <w:rsid w:val="5BBF2701"/>
    <w:rsid w:val="5BED535D"/>
    <w:rsid w:val="5BED7BB2"/>
    <w:rsid w:val="5BEE3ADC"/>
    <w:rsid w:val="5BF70787"/>
    <w:rsid w:val="5BFC7B76"/>
    <w:rsid w:val="5C094DB3"/>
    <w:rsid w:val="5C1102B0"/>
    <w:rsid w:val="5C184EF3"/>
    <w:rsid w:val="5C1D60C8"/>
    <w:rsid w:val="5C200928"/>
    <w:rsid w:val="5C25291D"/>
    <w:rsid w:val="5C3D18C9"/>
    <w:rsid w:val="5C447CC6"/>
    <w:rsid w:val="5C4F18D5"/>
    <w:rsid w:val="5C57422B"/>
    <w:rsid w:val="5C5920B9"/>
    <w:rsid w:val="5C5B2FE8"/>
    <w:rsid w:val="5C742923"/>
    <w:rsid w:val="5C79451E"/>
    <w:rsid w:val="5C8678C1"/>
    <w:rsid w:val="5C87693E"/>
    <w:rsid w:val="5C8869EB"/>
    <w:rsid w:val="5C8C2731"/>
    <w:rsid w:val="5C93243D"/>
    <w:rsid w:val="5C933B25"/>
    <w:rsid w:val="5C9C7311"/>
    <w:rsid w:val="5CA819CD"/>
    <w:rsid w:val="5CAC54B9"/>
    <w:rsid w:val="5CAD75BC"/>
    <w:rsid w:val="5CC03785"/>
    <w:rsid w:val="5CC30737"/>
    <w:rsid w:val="5CC30B73"/>
    <w:rsid w:val="5CC65634"/>
    <w:rsid w:val="5CC65D8C"/>
    <w:rsid w:val="5CC8798E"/>
    <w:rsid w:val="5CCF592A"/>
    <w:rsid w:val="5CD00C39"/>
    <w:rsid w:val="5CE27715"/>
    <w:rsid w:val="5CE43EE0"/>
    <w:rsid w:val="5CE963C2"/>
    <w:rsid w:val="5CEC397D"/>
    <w:rsid w:val="5CEF7531"/>
    <w:rsid w:val="5CF15B09"/>
    <w:rsid w:val="5CF313EF"/>
    <w:rsid w:val="5CFF436D"/>
    <w:rsid w:val="5D083D48"/>
    <w:rsid w:val="5D090453"/>
    <w:rsid w:val="5D0A5312"/>
    <w:rsid w:val="5D0B519F"/>
    <w:rsid w:val="5D0C1626"/>
    <w:rsid w:val="5D0F1FBD"/>
    <w:rsid w:val="5D1718BE"/>
    <w:rsid w:val="5D1F240F"/>
    <w:rsid w:val="5D254995"/>
    <w:rsid w:val="5D485840"/>
    <w:rsid w:val="5D51714C"/>
    <w:rsid w:val="5D535034"/>
    <w:rsid w:val="5D54036D"/>
    <w:rsid w:val="5D6B6FDD"/>
    <w:rsid w:val="5D711D7F"/>
    <w:rsid w:val="5D7602B3"/>
    <w:rsid w:val="5D7621CE"/>
    <w:rsid w:val="5D766ADE"/>
    <w:rsid w:val="5D7F1010"/>
    <w:rsid w:val="5D8240E3"/>
    <w:rsid w:val="5D86445A"/>
    <w:rsid w:val="5D897178"/>
    <w:rsid w:val="5D962018"/>
    <w:rsid w:val="5D9A703F"/>
    <w:rsid w:val="5DA40595"/>
    <w:rsid w:val="5DAC1755"/>
    <w:rsid w:val="5DAC7E65"/>
    <w:rsid w:val="5DB13ADE"/>
    <w:rsid w:val="5DB4019F"/>
    <w:rsid w:val="5DBB72FE"/>
    <w:rsid w:val="5DBFD7C3"/>
    <w:rsid w:val="5DC664B8"/>
    <w:rsid w:val="5DC70600"/>
    <w:rsid w:val="5DC717A6"/>
    <w:rsid w:val="5DC74128"/>
    <w:rsid w:val="5DC82230"/>
    <w:rsid w:val="5DC8665F"/>
    <w:rsid w:val="5DCD3D6F"/>
    <w:rsid w:val="5DCE5C1F"/>
    <w:rsid w:val="5DDA33C1"/>
    <w:rsid w:val="5DDC1927"/>
    <w:rsid w:val="5DE2248A"/>
    <w:rsid w:val="5DE247A3"/>
    <w:rsid w:val="5DE53D04"/>
    <w:rsid w:val="5DE65116"/>
    <w:rsid w:val="5DEE00B1"/>
    <w:rsid w:val="5DF12A41"/>
    <w:rsid w:val="5DF5215D"/>
    <w:rsid w:val="5DFA2928"/>
    <w:rsid w:val="5DFD670B"/>
    <w:rsid w:val="5DFE1DC2"/>
    <w:rsid w:val="5E006CAF"/>
    <w:rsid w:val="5E0B0CF6"/>
    <w:rsid w:val="5E0C09BB"/>
    <w:rsid w:val="5E0F3961"/>
    <w:rsid w:val="5E143748"/>
    <w:rsid w:val="5E1A5910"/>
    <w:rsid w:val="5E2106E9"/>
    <w:rsid w:val="5E2978A3"/>
    <w:rsid w:val="5E2D1087"/>
    <w:rsid w:val="5E30263F"/>
    <w:rsid w:val="5E3522CF"/>
    <w:rsid w:val="5E3F07D8"/>
    <w:rsid w:val="5E4D12DF"/>
    <w:rsid w:val="5E4D4FC9"/>
    <w:rsid w:val="5E5079BB"/>
    <w:rsid w:val="5E617B22"/>
    <w:rsid w:val="5E6F15A4"/>
    <w:rsid w:val="5E706F71"/>
    <w:rsid w:val="5E733AFE"/>
    <w:rsid w:val="5E786107"/>
    <w:rsid w:val="5E803A23"/>
    <w:rsid w:val="5E8237DF"/>
    <w:rsid w:val="5E8B3284"/>
    <w:rsid w:val="5E9F73EE"/>
    <w:rsid w:val="5EB3655C"/>
    <w:rsid w:val="5EB70C72"/>
    <w:rsid w:val="5EB92F0C"/>
    <w:rsid w:val="5EBB0D6F"/>
    <w:rsid w:val="5EBD7906"/>
    <w:rsid w:val="5EC12590"/>
    <w:rsid w:val="5EC4123A"/>
    <w:rsid w:val="5EC72E48"/>
    <w:rsid w:val="5ECD6E48"/>
    <w:rsid w:val="5ED0419C"/>
    <w:rsid w:val="5ED27DCA"/>
    <w:rsid w:val="5ED44AFC"/>
    <w:rsid w:val="5ED722D9"/>
    <w:rsid w:val="5ED908A4"/>
    <w:rsid w:val="5EDB38C8"/>
    <w:rsid w:val="5EDB7921"/>
    <w:rsid w:val="5EDD75E8"/>
    <w:rsid w:val="5EDF3EB7"/>
    <w:rsid w:val="5EF0691C"/>
    <w:rsid w:val="5EF25A1B"/>
    <w:rsid w:val="5F076D88"/>
    <w:rsid w:val="5F0A54CE"/>
    <w:rsid w:val="5F215264"/>
    <w:rsid w:val="5F3B7E49"/>
    <w:rsid w:val="5F460402"/>
    <w:rsid w:val="5F4D03DB"/>
    <w:rsid w:val="5F5E0D5A"/>
    <w:rsid w:val="5F5E5CA5"/>
    <w:rsid w:val="5F645D67"/>
    <w:rsid w:val="5F6B3D85"/>
    <w:rsid w:val="5F6B564E"/>
    <w:rsid w:val="5F6B7DEC"/>
    <w:rsid w:val="5F6E0461"/>
    <w:rsid w:val="5F747AD1"/>
    <w:rsid w:val="5F78397E"/>
    <w:rsid w:val="5F794CF2"/>
    <w:rsid w:val="5F7D9DE8"/>
    <w:rsid w:val="5F7E2D90"/>
    <w:rsid w:val="5F7F6537"/>
    <w:rsid w:val="5F801DE2"/>
    <w:rsid w:val="5F8550C7"/>
    <w:rsid w:val="5F86408B"/>
    <w:rsid w:val="5F8E1346"/>
    <w:rsid w:val="5F982EAC"/>
    <w:rsid w:val="5F9A3E47"/>
    <w:rsid w:val="5FA260C0"/>
    <w:rsid w:val="5FAA6187"/>
    <w:rsid w:val="5FBF19D4"/>
    <w:rsid w:val="5FCA2C2A"/>
    <w:rsid w:val="5FD712CD"/>
    <w:rsid w:val="5FE66AE4"/>
    <w:rsid w:val="5FEB593B"/>
    <w:rsid w:val="5FFC34AB"/>
    <w:rsid w:val="5FFF190C"/>
    <w:rsid w:val="601005C2"/>
    <w:rsid w:val="60174A4F"/>
    <w:rsid w:val="601B33EC"/>
    <w:rsid w:val="60303445"/>
    <w:rsid w:val="603303D1"/>
    <w:rsid w:val="60395379"/>
    <w:rsid w:val="603F6EDC"/>
    <w:rsid w:val="60406A93"/>
    <w:rsid w:val="60450393"/>
    <w:rsid w:val="6045087B"/>
    <w:rsid w:val="60567839"/>
    <w:rsid w:val="6059292E"/>
    <w:rsid w:val="60595F9E"/>
    <w:rsid w:val="606A0FF4"/>
    <w:rsid w:val="606B478A"/>
    <w:rsid w:val="606E27FE"/>
    <w:rsid w:val="608E41C0"/>
    <w:rsid w:val="60942943"/>
    <w:rsid w:val="60A0228B"/>
    <w:rsid w:val="60AD30F8"/>
    <w:rsid w:val="60B637DD"/>
    <w:rsid w:val="60DD641D"/>
    <w:rsid w:val="60E00A33"/>
    <w:rsid w:val="60EF3B13"/>
    <w:rsid w:val="60FC68D3"/>
    <w:rsid w:val="61021F62"/>
    <w:rsid w:val="610E38FC"/>
    <w:rsid w:val="611722A2"/>
    <w:rsid w:val="61180C9D"/>
    <w:rsid w:val="611C0456"/>
    <w:rsid w:val="61252B28"/>
    <w:rsid w:val="61314937"/>
    <w:rsid w:val="614B5785"/>
    <w:rsid w:val="6152291A"/>
    <w:rsid w:val="61551AF2"/>
    <w:rsid w:val="615578FA"/>
    <w:rsid w:val="61561F9F"/>
    <w:rsid w:val="6166128A"/>
    <w:rsid w:val="616C61A7"/>
    <w:rsid w:val="616F44B1"/>
    <w:rsid w:val="617764AE"/>
    <w:rsid w:val="617827A7"/>
    <w:rsid w:val="61784E29"/>
    <w:rsid w:val="617F501C"/>
    <w:rsid w:val="61860707"/>
    <w:rsid w:val="61952AD8"/>
    <w:rsid w:val="619858D0"/>
    <w:rsid w:val="619E0BD0"/>
    <w:rsid w:val="619E41CF"/>
    <w:rsid w:val="61BB7D24"/>
    <w:rsid w:val="61BC6B36"/>
    <w:rsid w:val="61BE39F8"/>
    <w:rsid w:val="61C54A2C"/>
    <w:rsid w:val="61C839A7"/>
    <w:rsid w:val="61CA47AE"/>
    <w:rsid w:val="61DA72AB"/>
    <w:rsid w:val="61E43D0E"/>
    <w:rsid w:val="61F9272E"/>
    <w:rsid w:val="61FA1902"/>
    <w:rsid w:val="62156036"/>
    <w:rsid w:val="622565D2"/>
    <w:rsid w:val="622A6EC2"/>
    <w:rsid w:val="622F47B0"/>
    <w:rsid w:val="62365F09"/>
    <w:rsid w:val="62390CB6"/>
    <w:rsid w:val="623A5F53"/>
    <w:rsid w:val="62435DCB"/>
    <w:rsid w:val="624A10A9"/>
    <w:rsid w:val="624B58DB"/>
    <w:rsid w:val="62767339"/>
    <w:rsid w:val="627D2849"/>
    <w:rsid w:val="628407B1"/>
    <w:rsid w:val="628E2E22"/>
    <w:rsid w:val="628E7CAD"/>
    <w:rsid w:val="62932032"/>
    <w:rsid w:val="62934A57"/>
    <w:rsid w:val="629813F8"/>
    <w:rsid w:val="62A52B40"/>
    <w:rsid w:val="62A60A16"/>
    <w:rsid w:val="62A97D63"/>
    <w:rsid w:val="62AB777F"/>
    <w:rsid w:val="62AD5A83"/>
    <w:rsid w:val="62AE20B2"/>
    <w:rsid w:val="62C40A78"/>
    <w:rsid w:val="62CA45A4"/>
    <w:rsid w:val="62CD3C18"/>
    <w:rsid w:val="62D154F4"/>
    <w:rsid w:val="62DB45F3"/>
    <w:rsid w:val="62DB66DB"/>
    <w:rsid w:val="62DD2D1D"/>
    <w:rsid w:val="62E06987"/>
    <w:rsid w:val="62E3363E"/>
    <w:rsid w:val="62E46E82"/>
    <w:rsid w:val="62EC2A0D"/>
    <w:rsid w:val="62ED2730"/>
    <w:rsid w:val="62ED4F35"/>
    <w:rsid w:val="62EF4F95"/>
    <w:rsid w:val="62F2372C"/>
    <w:rsid w:val="62FC2F6E"/>
    <w:rsid w:val="63005F59"/>
    <w:rsid w:val="63026CED"/>
    <w:rsid w:val="631509E4"/>
    <w:rsid w:val="631B5D73"/>
    <w:rsid w:val="631E6003"/>
    <w:rsid w:val="632161A3"/>
    <w:rsid w:val="632A37BB"/>
    <w:rsid w:val="632D4F26"/>
    <w:rsid w:val="63343DAE"/>
    <w:rsid w:val="63366CF1"/>
    <w:rsid w:val="633A597E"/>
    <w:rsid w:val="633D491F"/>
    <w:rsid w:val="633F7C7C"/>
    <w:rsid w:val="6347004C"/>
    <w:rsid w:val="6348218C"/>
    <w:rsid w:val="634906C0"/>
    <w:rsid w:val="634D119A"/>
    <w:rsid w:val="634F1A75"/>
    <w:rsid w:val="63662614"/>
    <w:rsid w:val="636B4C33"/>
    <w:rsid w:val="636C64F0"/>
    <w:rsid w:val="636F4D01"/>
    <w:rsid w:val="637C52E7"/>
    <w:rsid w:val="637F5EF4"/>
    <w:rsid w:val="63801807"/>
    <w:rsid w:val="63821837"/>
    <w:rsid w:val="63983B46"/>
    <w:rsid w:val="63A04041"/>
    <w:rsid w:val="63A73651"/>
    <w:rsid w:val="63A94710"/>
    <w:rsid w:val="63AB22A2"/>
    <w:rsid w:val="63AF30A8"/>
    <w:rsid w:val="63B66091"/>
    <w:rsid w:val="63B84349"/>
    <w:rsid w:val="63B87B36"/>
    <w:rsid w:val="63BD2CDF"/>
    <w:rsid w:val="63BE441F"/>
    <w:rsid w:val="63C30706"/>
    <w:rsid w:val="63CE07EC"/>
    <w:rsid w:val="63D64C7A"/>
    <w:rsid w:val="63EA18E6"/>
    <w:rsid w:val="63EE35EE"/>
    <w:rsid w:val="63F66E28"/>
    <w:rsid w:val="63F71815"/>
    <w:rsid w:val="63FD003F"/>
    <w:rsid w:val="64011C9A"/>
    <w:rsid w:val="64012899"/>
    <w:rsid w:val="640A3456"/>
    <w:rsid w:val="641360FB"/>
    <w:rsid w:val="64183B3A"/>
    <w:rsid w:val="641A2856"/>
    <w:rsid w:val="64254CA9"/>
    <w:rsid w:val="643D4780"/>
    <w:rsid w:val="643E241F"/>
    <w:rsid w:val="644E6B71"/>
    <w:rsid w:val="645050FA"/>
    <w:rsid w:val="64533603"/>
    <w:rsid w:val="645F5C12"/>
    <w:rsid w:val="64695447"/>
    <w:rsid w:val="646A3702"/>
    <w:rsid w:val="64704A63"/>
    <w:rsid w:val="64725549"/>
    <w:rsid w:val="647532BD"/>
    <w:rsid w:val="647A288D"/>
    <w:rsid w:val="647B128B"/>
    <w:rsid w:val="647B3E17"/>
    <w:rsid w:val="648275DD"/>
    <w:rsid w:val="64910CD9"/>
    <w:rsid w:val="64A30365"/>
    <w:rsid w:val="64AA3309"/>
    <w:rsid w:val="64AA3E10"/>
    <w:rsid w:val="64AB50DC"/>
    <w:rsid w:val="64AE4354"/>
    <w:rsid w:val="64B972BE"/>
    <w:rsid w:val="64BB664B"/>
    <w:rsid w:val="64BD1347"/>
    <w:rsid w:val="64BD4E54"/>
    <w:rsid w:val="64C24FBD"/>
    <w:rsid w:val="64C5082B"/>
    <w:rsid w:val="64C8345D"/>
    <w:rsid w:val="64CB72F5"/>
    <w:rsid w:val="64D70E03"/>
    <w:rsid w:val="64D84B35"/>
    <w:rsid w:val="64DA45FF"/>
    <w:rsid w:val="64DE09CD"/>
    <w:rsid w:val="64E06343"/>
    <w:rsid w:val="64E2461F"/>
    <w:rsid w:val="64E42046"/>
    <w:rsid w:val="64EA0439"/>
    <w:rsid w:val="64EF7A50"/>
    <w:rsid w:val="64F06511"/>
    <w:rsid w:val="64F47DAF"/>
    <w:rsid w:val="64FF6DF5"/>
    <w:rsid w:val="650266C7"/>
    <w:rsid w:val="65026A30"/>
    <w:rsid w:val="650B60F2"/>
    <w:rsid w:val="650E3602"/>
    <w:rsid w:val="6514571A"/>
    <w:rsid w:val="6514758F"/>
    <w:rsid w:val="65165191"/>
    <w:rsid w:val="651D10B4"/>
    <w:rsid w:val="65227FE9"/>
    <w:rsid w:val="65274189"/>
    <w:rsid w:val="65314887"/>
    <w:rsid w:val="6539273C"/>
    <w:rsid w:val="654273A2"/>
    <w:rsid w:val="654D3A68"/>
    <w:rsid w:val="65515A8C"/>
    <w:rsid w:val="655227FD"/>
    <w:rsid w:val="65540770"/>
    <w:rsid w:val="65664E54"/>
    <w:rsid w:val="656665D3"/>
    <w:rsid w:val="6571050F"/>
    <w:rsid w:val="657B03B2"/>
    <w:rsid w:val="657C3D1E"/>
    <w:rsid w:val="658D070D"/>
    <w:rsid w:val="65907A4E"/>
    <w:rsid w:val="65950EF8"/>
    <w:rsid w:val="65AB40C0"/>
    <w:rsid w:val="65B116C2"/>
    <w:rsid w:val="65B338D0"/>
    <w:rsid w:val="65B445B5"/>
    <w:rsid w:val="65BC7F16"/>
    <w:rsid w:val="65C203DF"/>
    <w:rsid w:val="65C653AB"/>
    <w:rsid w:val="65C80D0D"/>
    <w:rsid w:val="65D32A0C"/>
    <w:rsid w:val="65D75707"/>
    <w:rsid w:val="65D917F2"/>
    <w:rsid w:val="65EC4BEC"/>
    <w:rsid w:val="65F42A8E"/>
    <w:rsid w:val="65FD452A"/>
    <w:rsid w:val="66061444"/>
    <w:rsid w:val="6606776F"/>
    <w:rsid w:val="6610195E"/>
    <w:rsid w:val="66180394"/>
    <w:rsid w:val="661F2D41"/>
    <w:rsid w:val="66366F92"/>
    <w:rsid w:val="66375B80"/>
    <w:rsid w:val="663A5677"/>
    <w:rsid w:val="66426477"/>
    <w:rsid w:val="66474439"/>
    <w:rsid w:val="66495441"/>
    <w:rsid w:val="664A2444"/>
    <w:rsid w:val="66540D83"/>
    <w:rsid w:val="66581BBC"/>
    <w:rsid w:val="66672105"/>
    <w:rsid w:val="66677CAC"/>
    <w:rsid w:val="666845A2"/>
    <w:rsid w:val="667147C8"/>
    <w:rsid w:val="66714D68"/>
    <w:rsid w:val="66760DC5"/>
    <w:rsid w:val="667D480D"/>
    <w:rsid w:val="66887617"/>
    <w:rsid w:val="66984910"/>
    <w:rsid w:val="669B59E7"/>
    <w:rsid w:val="66A71BBE"/>
    <w:rsid w:val="66AD7F94"/>
    <w:rsid w:val="66B12236"/>
    <w:rsid w:val="66C855FF"/>
    <w:rsid w:val="66CF62BF"/>
    <w:rsid w:val="66D37B8D"/>
    <w:rsid w:val="66E8423D"/>
    <w:rsid w:val="66EA6D79"/>
    <w:rsid w:val="66EC2A73"/>
    <w:rsid w:val="66F028E3"/>
    <w:rsid w:val="66F5749B"/>
    <w:rsid w:val="6703473E"/>
    <w:rsid w:val="6703581A"/>
    <w:rsid w:val="671359B7"/>
    <w:rsid w:val="67185A8E"/>
    <w:rsid w:val="671A19D9"/>
    <w:rsid w:val="671A3D72"/>
    <w:rsid w:val="671F2D72"/>
    <w:rsid w:val="67204A56"/>
    <w:rsid w:val="67255FB2"/>
    <w:rsid w:val="67271BB3"/>
    <w:rsid w:val="672826E9"/>
    <w:rsid w:val="6733494D"/>
    <w:rsid w:val="673522BC"/>
    <w:rsid w:val="673A79C2"/>
    <w:rsid w:val="674459AF"/>
    <w:rsid w:val="6753060D"/>
    <w:rsid w:val="675C67AF"/>
    <w:rsid w:val="67791B52"/>
    <w:rsid w:val="677A29C5"/>
    <w:rsid w:val="677E45A0"/>
    <w:rsid w:val="677F5D0D"/>
    <w:rsid w:val="6786497D"/>
    <w:rsid w:val="67872A49"/>
    <w:rsid w:val="67882A93"/>
    <w:rsid w:val="678F38BC"/>
    <w:rsid w:val="67965B48"/>
    <w:rsid w:val="67A943E9"/>
    <w:rsid w:val="67AA4760"/>
    <w:rsid w:val="67AD6DC0"/>
    <w:rsid w:val="67BA53CE"/>
    <w:rsid w:val="67C2591A"/>
    <w:rsid w:val="67C30CA4"/>
    <w:rsid w:val="67E13153"/>
    <w:rsid w:val="67E3779A"/>
    <w:rsid w:val="67ED58FA"/>
    <w:rsid w:val="67F507A9"/>
    <w:rsid w:val="67FA1B66"/>
    <w:rsid w:val="67FF5F4B"/>
    <w:rsid w:val="68072DD9"/>
    <w:rsid w:val="680A4D64"/>
    <w:rsid w:val="680E7852"/>
    <w:rsid w:val="681165DF"/>
    <w:rsid w:val="68206AA8"/>
    <w:rsid w:val="682072E8"/>
    <w:rsid w:val="68260E76"/>
    <w:rsid w:val="682D67EB"/>
    <w:rsid w:val="682F05C2"/>
    <w:rsid w:val="683A7919"/>
    <w:rsid w:val="683E7E47"/>
    <w:rsid w:val="68440EEC"/>
    <w:rsid w:val="684A6FFD"/>
    <w:rsid w:val="685378CE"/>
    <w:rsid w:val="6857778C"/>
    <w:rsid w:val="685B2AEB"/>
    <w:rsid w:val="685B5BC2"/>
    <w:rsid w:val="68613875"/>
    <w:rsid w:val="68622599"/>
    <w:rsid w:val="686A7AC1"/>
    <w:rsid w:val="686A7D67"/>
    <w:rsid w:val="687A3BC8"/>
    <w:rsid w:val="687B5854"/>
    <w:rsid w:val="68804EFC"/>
    <w:rsid w:val="688130BA"/>
    <w:rsid w:val="688346B4"/>
    <w:rsid w:val="688410AC"/>
    <w:rsid w:val="6886258F"/>
    <w:rsid w:val="688E188A"/>
    <w:rsid w:val="689147D1"/>
    <w:rsid w:val="68940712"/>
    <w:rsid w:val="68956F32"/>
    <w:rsid w:val="68A34C36"/>
    <w:rsid w:val="68A8486E"/>
    <w:rsid w:val="68A940B5"/>
    <w:rsid w:val="68C16AA1"/>
    <w:rsid w:val="68C271D0"/>
    <w:rsid w:val="68C426A5"/>
    <w:rsid w:val="68DA12D9"/>
    <w:rsid w:val="68F40B67"/>
    <w:rsid w:val="68F70E78"/>
    <w:rsid w:val="68FA3A40"/>
    <w:rsid w:val="69097D44"/>
    <w:rsid w:val="69143A90"/>
    <w:rsid w:val="69177FA7"/>
    <w:rsid w:val="69234727"/>
    <w:rsid w:val="69307509"/>
    <w:rsid w:val="694309C6"/>
    <w:rsid w:val="69457549"/>
    <w:rsid w:val="694D423C"/>
    <w:rsid w:val="694E623A"/>
    <w:rsid w:val="69547C77"/>
    <w:rsid w:val="695A0E2F"/>
    <w:rsid w:val="69634087"/>
    <w:rsid w:val="69643C47"/>
    <w:rsid w:val="69695D38"/>
    <w:rsid w:val="69732F52"/>
    <w:rsid w:val="69741E70"/>
    <w:rsid w:val="697BB236"/>
    <w:rsid w:val="69847201"/>
    <w:rsid w:val="69860B94"/>
    <w:rsid w:val="698E6255"/>
    <w:rsid w:val="6990295B"/>
    <w:rsid w:val="69954A10"/>
    <w:rsid w:val="69956DD0"/>
    <w:rsid w:val="69984E80"/>
    <w:rsid w:val="699A3C99"/>
    <w:rsid w:val="69A24F0E"/>
    <w:rsid w:val="69AD2238"/>
    <w:rsid w:val="69B7411A"/>
    <w:rsid w:val="69BC243A"/>
    <w:rsid w:val="69BE53C7"/>
    <w:rsid w:val="69CA5A8F"/>
    <w:rsid w:val="69CB015D"/>
    <w:rsid w:val="69CF3BF9"/>
    <w:rsid w:val="69D00CF3"/>
    <w:rsid w:val="69D87BA9"/>
    <w:rsid w:val="69DD51EA"/>
    <w:rsid w:val="69E51F20"/>
    <w:rsid w:val="69E80700"/>
    <w:rsid w:val="69E8185C"/>
    <w:rsid w:val="69F556AB"/>
    <w:rsid w:val="69FD6977"/>
    <w:rsid w:val="69FD7122"/>
    <w:rsid w:val="69FE19B4"/>
    <w:rsid w:val="69FF54E3"/>
    <w:rsid w:val="6A1F30FE"/>
    <w:rsid w:val="6A235975"/>
    <w:rsid w:val="6A2971AA"/>
    <w:rsid w:val="6A2D0CE2"/>
    <w:rsid w:val="6A321D74"/>
    <w:rsid w:val="6A34587C"/>
    <w:rsid w:val="6A397855"/>
    <w:rsid w:val="6A400776"/>
    <w:rsid w:val="6A473146"/>
    <w:rsid w:val="6A4D00FD"/>
    <w:rsid w:val="6A5307D8"/>
    <w:rsid w:val="6A6642AA"/>
    <w:rsid w:val="6A6A346F"/>
    <w:rsid w:val="6A6E5CE5"/>
    <w:rsid w:val="6A721764"/>
    <w:rsid w:val="6A826FDA"/>
    <w:rsid w:val="6A857977"/>
    <w:rsid w:val="6AA45E3A"/>
    <w:rsid w:val="6AA7685F"/>
    <w:rsid w:val="6AAE7655"/>
    <w:rsid w:val="6AB077AD"/>
    <w:rsid w:val="6ABD00BE"/>
    <w:rsid w:val="6AD03F24"/>
    <w:rsid w:val="6AD27C22"/>
    <w:rsid w:val="6ADB7183"/>
    <w:rsid w:val="6ADF1248"/>
    <w:rsid w:val="6AE560B0"/>
    <w:rsid w:val="6AEA28C6"/>
    <w:rsid w:val="6AF33CFE"/>
    <w:rsid w:val="6AFB49D0"/>
    <w:rsid w:val="6AFC42A9"/>
    <w:rsid w:val="6AFD7431"/>
    <w:rsid w:val="6AFFD93D"/>
    <w:rsid w:val="6B051DF1"/>
    <w:rsid w:val="6B15539D"/>
    <w:rsid w:val="6B1A2310"/>
    <w:rsid w:val="6B246E34"/>
    <w:rsid w:val="6B28101E"/>
    <w:rsid w:val="6B2F0D68"/>
    <w:rsid w:val="6B2F162A"/>
    <w:rsid w:val="6B3F03D2"/>
    <w:rsid w:val="6B456EEE"/>
    <w:rsid w:val="6B4673DF"/>
    <w:rsid w:val="6B492CC0"/>
    <w:rsid w:val="6B500F24"/>
    <w:rsid w:val="6B510123"/>
    <w:rsid w:val="6B5A451D"/>
    <w:rsid w:val="6B657B10"/>
    <w:rsid w:val="6B6B33D1"/>
    <w:rsid w:val="6B6F155C"/>
    <w:rsid w:val="6B70322F"/>
    <w:rsid w:val="6B7F2304"/>
    <w:rsid w:val="6B8E126B"/>
    <w:rsid w:val="6B8E4AB9"/>
    <w:rsid w:val="6B971742"/>
    <w:rsid w:val="6B991C92"/>
    <w:rsid w:val="6B9D6FDD"/>
    <w:rsid w:val="6BA02CFA"/>
    <w:rsid w:val="6BB027CC"/>
    <w:rsid w:val="6BB0499C"/>
    <w:rsid w:val="6BB8620A"/>
    <w:rsid w:val="6BBA043C"/>
    <w:rsid w:val="6BBB3AB8"/>
    <w:rsid w:val="6BBC0552"/>
    <w:rsid w:val="6BBD3A34"/>
    <w:rsid w:val="6BBF61CF"/>
    <w:rsid w:val="6BC36779"/>
    <w:rsid w:val="6BC527DF"/>
    <w:rsid w:val="6BC668BD"/>
    <w:rsid w:val="6BC84E73"/>
    <w:rsid w:val="6BC94361"/>
    <w:rsid w:val="6BCB165A"/>
    <w:rsid w:val="6BCC27B1"/>
    <w:rsid w:val="6BD10DD4"/>
    <w:rsid w:val="6BE434AD"/>
    <w:rsid w:val="6BE837B9"/>
    <w:rsid w:val="6BF11E59"/>
    <w:rsid w:val="6BFA4DC1"/>
    <w:rsid w:val="6BFB0777"/>
    <w:rsid w:val="6C121948"/>
    <w:rsid w:val="6C1360A7"/>
    <w:rsid w:val="6C144F2A"/>
    <w:rsid w:val="6C16C40D"/>
    <w:rsid w:val="6C17550E"/>
    <w:rsid w:val="6C1C1335"/>
    <w:rsid w:val="6C1D51FA"/>
    <w:rsid w:val="6C1D73C1"/>
    <w:rsid w:val="6C1E79B4"/>
    <w:rsid w:val="6C351E27"/>
    <w:rsid w:val="6C3B043A"/>
    <w:rsid w:val="6C55338F"/>
    <w:rsid w:val="6C5B638C"/>
    <w:rsid w:val="6C6241DE"/>
    <w:rsid w:val="6C6A69EB"/>
    <w:rsid w:val="6C764B91"/>
    <w:rsid w:val="6C7B3BAF"/>
    <w:rsid w:val="6C7F3CD0"/>
    <w:rsid w:val="6C835F93"/>
    <w:rsid w:val="6C8810EE"/>
    <w:rsid w:val="6C8961C2"/>
    <w:rsid w:val="6C972684"/>
    <w:rsid w:val="6CA41963"/>
    <w:rsid w:val="6CA94313"/>
    <w:rsid w:val="6CB40E0C"/>
    <w:rsid w:val="6CB5554F"/>
    <w:rsid w:val="6CB772F1"/>
    <w:rsid w:val="6CB77D36"/>
    <w:rsid w:val="6CB87C36"/>
    <w:rsid w:val="6CC401BC"/>
    <w:rsid w:val="6CC81647"/>
    <w:rsid w:val="6CCB1C40"/>
    <w:rsid w:val="6CCC082F"/>
    <w:rsid w:val="6CE114A1"/>
    <w:rsid w:val="6CEE7B90"/>
    <w:rsid w:val="6CF66A19"/>
    <w:rsid w:val="6D0C2C53"/>
    <w:rsid w:val="6D14133C"/>
    <w:rsid w:val="6D176763"/>
    <w:rsid w:val="6D1A573A"/>
    <w:rsid w:val="6D1E0752"/>
    <w:rsid w:val="6D236497"/>
    <w:rsid w:val="6D293037"/>
    <w:rsid w:val="6D3B41A8"/>
    <w:rsid w:val="6D3C22F3"/>
    <w:rsid w:val="6D430603"/>
    <w:rsid w:val="6D43540D"/>
    <w:rsid w:val="6D4A769A"/>
    <w:rsid w:val="6D4D2999"/>
    <w:rsid w:val="6D535AF6"/>
    <w:rsid w:val="6D550BA5"/>
    <w:rsid w:val="6D5B3A36"/>
    <w:rsid w:val="6D62557E"/>
    <w:rsid w:val="6D7919D3"/>
    <w:rsid w:val="6D7FB8C6"/>
    <w:rsid w:val="6D83148D"/>
    <w:rsid w:val="6D853FBC"/>
    <w:rsid w:val="6D9510D7"/>
    <w:rsid w:val="6D9F7FB2"/>
    <w:rsid w:val="6DA140E4"/>
    <w:rsid w:val="6DA41A46"/>
    <w:rsid w:val="6DA459DA"/>
    <w:rsid w:val="6DA767C8"/>
    <w:rsid w:val="6DA94EFF"/>
    <w:rsid w:val="6DB21D88"/>
    <w:rsid w:val="6DC009BA"/>
    <w:rsid w:val="6DC81284"/>
    <w:rsid w:val="6DE05A9F"/>
    <w:rsid w:val="6DE201E9"/>
    <w:rsid w:val="6DF02946"/>
    <w:rsid w:val="6DF77AEA"/>
    <w:rsid w:val="6DFC0A3C"/>
    <w:rsid w:val="6E06513A"/>
    <w:rsid w:val="6E144771"/>
    <w:rsid w:val="6E203CB8"/>
    <w:rsid w:val="6E220E46"/>
    <w:rsid w:val="6E255F8D"/>
    <w:rsid w:val="6E3035ED"/>
    <w:rsid w:val="6E3709A6"/>
    <w:rsid w:val="6E3A0DA2"/>
    <w:rsid w:val="6E520F94"/>
    <w:rsid w:val="6E592F9E"/>
    <w:rsid w:val="6E5B502D"/>
    <w:rsid w:val="6E600C41"/>
    <w:rsid w:val="6E665ABD"/>
    <w:rsid w:val="6E6F0A3D"/>
    <w:rsid w:val="6E6F3964"/>
    <w:rsid w:val="6E7D2ECF"/>
    <w:rsid w:val="6E893F46"/>
    <w:rsid w:val="6E922F2C"/>
    <w:rsid w:val="6E964C2C"/>
    <w:rsid w:val="6E975B13"/>
    <w:rsid w:val="6E9A52B7"/>
    <w:rsid w:val="6EA52E09"/>
    <w:rsid w:val="6EBC18CC"/>
    <w:rsid w:val="6EC6178C"/>
    <w:rsid w:val="6ECC4ECD"/>
    <w:rsid w:val="6ED506EB"/>
    <w:rsid w:val="6ED63D08"/>
    <w:rsid w:val="6ED92756"/>
    <w:rsid w:val="6EDF726B"/>
    <w:rsid w:val="6EDF783E"/>
    <w:rsid w:val="6EE234C0"/>
    <w:rsid w:val="6EE25BB6"/>
    <w:rsid w:val="6EF7F6BA"/>
    <w:rsid w:val="6F0125BE"/>
    <w:rsid w:val="6F0C7590"/>
    <w:rsid w:val="6F0FDB56"/>
    <w:rsid w:val="6F224465"/>
    <w:rsid w:val="6F257CCA"/>
    <w:rsid w:val="6F2C3D0A"/>
    <w:rsid w:val="6F2E02B8"/>
    <w:rsid w:val="6F31606A"/>
    <w:rsid w:val="6F331D37"/>
    <w:rsid w:val="6F415B22"/>
    <w:rsid w:val="6F482CA1"/>
    <w:rsid w:val="6F4B198F"/>
    <w:rsid w:val="6F4B44FC"/>
    <w:rsid w:val="6F4E452C"/>
    <w:rsid w:val="6F55416B"/>
    <w:rsid w:val="6F575EF7"/>
    <w:rsid w:val="6F5C4C8E"/>
    <w:rsid w:val="6F5D7C5B"/>
    <w:rsid w:val="6F5E5CDC"/>
    <w:rsid w:val="6F6850FA"/>
    <w:rsid w:val="6F6B59B5"/>
    <w:rsid w:val="6F705B02"/>
    <w:rsid w:val="6F8155C5"/>
    <w:rsid w:val="6F8263E4"/>
    <w:rsid w:val="6F864B2A"/>
    <w:rsid w:val="6F867DB2"/>
    <w:rsid w:val="6F9A1DB1"/>
    <w:rsid w:val="6FAD62FF"/>
    <w:rsid w:val="6FB9429E"/>
    <w:rsid w:val="6FBA0265"/>
    <w:rsid w:val="6FBA670D"/>
    <w:rsid w:val="6FBD79D4"/>
    <w:rsid w:val="6FBF2D4F"/>
    <w:rsid w:val="6FBF7414"/>
    <w:rsid w:val="6FD259FE"/>
    <w:rsid w:val="6FDA9914"/>
    <w:rsid w:val="6FDC46A0"/>
    <w:rsid w:val="6FDC661D"/>
    <w:rsid w:val="6FDD2BC8"/>
    <w:rsid w:val="6FE17C4F"/>
    <w:rsid w:val="6FEF0DA0"/>
    <w:rsid w:val="6FF13AE2"/>
    <w:rsid w:val="6FF4F4EE"/>
    <w:rsid w:val="6FF776EA"/>
    <w:rsid w:val="6FF91BED"/>
    <w:rsid w:val="6FFD2AB2"/>
    <w:rsid w:val="6FFE9703"/>
    <w:rsid w:val="6FFF340C"/>
    <w:rsid w:val="6FFF52B1"/>
    <w:rsid w:val="700919A0"/>
    <w:rsid w:val="700B1AE0"/>
    <w:rsid w:val="700B6273"/>
    <w:rsid w:val="70212DD3"/>
    <w:rsid w:val="70247F45"/>
    <w:rsid w:val="7032387B"/>
    <w:rsid w:val="70422316"/>
    <w:rsid w:val="705F5B0A"/>
    <w:rsid w:val="706327C9"/>
    <w:rsid w:val="70671D09"/>
    <w:rsid w:val="706F05D6"/>
    <w:rsid w:val="707B3087"/>
    <w:rsid w:val="707E384E"/>
    <w:rsid w:val="707E4706"/>
    <w:rsid w:val="70877E2E"/>
    <w:rsid w:val="70892D0A"/>
    <w:rsid w:val="708A4F7F"/>
    <w:rsid w:val="708F583A"/>
    <w:rsid w:val="70950B2D"/>
    <w:rsid w:val="709915CE"/>
    <w:rsid w:val="709E2E9C"/>
    <w:rsid w:val="70A02205"/>
    <w:rsid w:val="70A02682"/>
    <w:rsid w:val="70A36C22"/>
    <w:rsid w:val="70A46059"/>
    <w:rsid w:val="70A56E6A"/>
    <w:rsid w:val="70A81615"/>
    <w:rsid w:val="70B537C6"/>
    <w:rsid w:val="70B7016A"/>
    <w:rsid w:val="70C80224"/>
    <w:rsid w:val="70C918EC"/>
    <w:rsid w:val="70CD2E7A"/>
    <w:rsid w:val="70D3117C"/>
    <w:rsid w:val="70DE0B4B"/>
    <w:rsid w:val="70DF6B8E"/>
    <w:rsid w:val="70E81623"/>
    <w:rsid w:val="70E86DC3"/>
    <w:rsid w:val="70F05911"/>
    <w:rsid w:val="70F461D1"/>
    <w:rsid w:val="70F51137"/>
    <w:rsid w:val="70F61403"/>
    <w:rsid w:val="70F76FA1"/>
    <w:rsid w:val="71045217"/>
    <w:rsid w:val="710A2629"/>
    <w:rsid w:val="710B7772"/>
    <w:rsid w:val="710C4EEB"/>
    <w:rsid w:val="711457A4"/>
    <w:rsid w:val="71175C91"/>
    <w:rsid w:val="71177F52"/>
    <w:rsid w:val="7124733D"/>
    <w:rsid w:val="712C09D6"/>
    <w:rsid w:val="71324AC6"/>
    <w:rsid w:val="71361676"/>
    <w:rsid w:val="71401124"/>
    <w:rsid w:val="71494FD3"/>
    <w:rsid w:val="714A1050"/>
    <w:rsid w:val="715D16C2"/>
    <w:rsid w:val="717042FD"/>
    <w:rsid w:val="7171353D"/>
    <w:rsid w:val="71762C8C"/>
    <w:rsid w:val="717D392C"/>
    <w:rsid w:val="718C3F37"/>
    <w:rsid w:val="718E0997"/>
    <w:rsid w:val="71923367"/>
    <w:rsid w:val="71A36753"/>
    <w:rsid w:val="71AD6536"/>
    <w:rsid w:val="71AE0D5E"/>
    <w:rsid w:val="71B86D22"/>
    <w:rsid w:val="71CD71C6"/>
    <w:rsid w:val="71EC8CA7"/>
    <w:rsid w:val="71F008A9"/>
    <w:rsid w:val="71F35DEE"/>
    <w:rsid w:val="71F57D11"/>
    <w:rsid w:val="71FA2F95"/>
    <w:rsid w:val="71FE3A37"/>
    <w:rsid w:val="71FF799F"/>
    <w:rsid w:val="72002760"/>
    <w:rsid w:val="720B0937"/>
    <w:rsid w:val="72166039"/>
    <w:rsid w:val="72261CA4"/>
    <w:rsid w:val="72274F07"/>
    <w:rsid w:val="722A124C"/>
    <w:rsid w:val="72392D35"/>
    <w:rsid w:val="723949DB"/>
    <w:rsid w:val="723F4018"/>
    <w:rsid w:val="72413A6B"/>
    <w:rsid w:val="7245415D"/>
    <w:rsid w:val="724C7958"/>
    <w:rsid w:val="725176AD"/>
    <w:rsid w:val="725B3204"/>
    <w:rsid w:val="726114CD"/>
    <w:rsid w:val="726808B1"/>
    <w:rsid w:val="726D7CEA"/>
    <w:rsid w:val="726E223C"/>
    <w:rsid w:val="726F5195"/>
    <w:rsid w:val="7272211D"/>
    <w:rsid w:val="727779F9"/>
    <w:rsid w:val="727907FE"/>
    <w:rsid w:val="7279451E"/>
    <w:rsid w:val="727D60A5"/>
    <w:rsid w:val="727F4E3F"/>
    <w:rsid w:val="72806044"/>
    <w:rsid w:val="7286436D"/>
    <w:rsid w:val="728A2A12"/>
    <w:rsid w:val="728C5C63"/>
    <w:rsid w:val="72910D60"/>
    <w:rsid w:val="72923A89"/>
    <w:rsid w:val="72924838"/>
    <w:rsid w:val="7295436B"/>
    <w:rsid w:val="729B795B"/>
    <w:rsid w:val="72A52784"/>
    <w:rsid w:val="72A71A1A"/>
    <w:rsid w:val="72A87141"/>
    <w:rsid w:val="72A940B7"/>
    <w:rsid w:val="72AE543E"/>
    <w:rsid w:val="72B378B8"/>
    <w:rsid w:val="72B40D47"/>
    <w:rsid w:val="72B54CCC"/>
    <w:rsid w:val="72BD17A4"/>
    <w:rsid w:val="72C12C5D"/>
    <w:rsid w:val="72C33283"/>
    <w:rsid w:val="72C57F43"/>
    <w:rsid w:val="72C6633C"/>
    <w:rsid w:val="72CB537A"/>
    <w:rsid w:val="72CE2A28"/>
    <w:rsid w:val="72D56631"/>
    <w:rsid w:val="72DE4F1F"/>
    <w:rsid w:val="72EC5980"/>
    <w:rsid w:val="72EC6E4B"/>
    <w:rsid w:val="72F115C9"/>
    <w:rsid w:val="72F70B14"/>
    <w:rsid w:val="72FA3E4C"/>
    <w:rsid w:val="72FB0D9E"/>
    <w:rsid w:val="73040B82"/>
    <w:rsid w:val="730608CD"/>
    <w:rsid w:val="730B28B2"/>
    <w:rsid w:val="730F451A"/>
    <w:rsid w:val="731514BB"/>
    <w:rsid w:val="731B07E3"/>
    <w:rsid w:val="731C4035"/>
    <w:rsid w:val="731D3DCF"/>
    <w:rsid w:val="732672F5"/>
    <w:rsid w:val="732A4806"/>
    <w:rsid w:val="73376512"/>
    <w:rsid w:val="733D14CA"/>
    <w:rsid w:val="73406EDC"/>
    <w:rsid w:val="73481144"/>
    <w:rsid w:val="734B7734"/>
    <w:rsid w:val="73540DC4"/>
    <w:rsid w:val="735839A5"/>
    <w:rsid w:val="736D2851"/>
    <w:rsid w:val="736D2A16"/>
    <w:rsid w:val="7376152A"/>
    <w:rsid w:val="73793495"/>
    <w:rsid w:val="73874146"/>
    <w:rsid w:val="738B71C1"/>
    <w:rsid w:val="739502A2"/>
    <w:rsid w:val="73954268"/>
    <w:rsid w:val="73B62154"/>
    <w:rsid w:val="73D2314C"/>
    <w:rsid w:val="73DA7F87"/>
    <w:rsid w:val="73DB6245"/>
    <w:rsid w:val="73DC4929"/>
    <w:rsid w:val="73DC7E17"/>
    <w:rsid w:val="73DD387B"/>
    <w:rsid w:val="73E871A3"/>
    <w:rsid w:val="73EE1B83"/>
    <w:rsid w:val="73FD6A4B"/>
    <w:rsid w:val="74026476"/>
    <w:rsid w:val="74113740"/>
    <w:rsid w:val="74144CE1"/>
    <w:rsid w:val="7416763C"/>
    <w:rsid w:val="74183CC8"/>
    <w:rsid w:val="742363C8"/>
    <w:rsid w:val="74300D0F"/>
    <w:rsid w:val="743D3EB9"/>
    <w:rsid w:val="744011C6"/>
    <w:rsid w:val="74475758"/>
    <w:rsid w:val="74513757"/>
    <w:rsid w:val="7454028C"/>
    <w:rsid w:val="74545BB4"/>
    <w:rsid w:val="745E570F"/>
    <w:rsid w:val="74612566"/>
    <w:rsid w:val="747959BF"/>
    <w:rsid w:val="747E1A70"/>
    <w:rsid w:val="7483161A"/>
    <w:rsid w:val="74882F4D"/>
    <w:rsid w:val="748B05FD"/>
    <w:rsid w:val="748C5C6A"/>
    <w:rsid w:val="74A51B18"/>
    <w:rsid w:val="74A938A5"/>
    <w:rsid w:val="74AE24F7"/>
    <w:rsid w:val="74B43738"/>
    <w:rsid w:val="74B763D6"/>
    <w:rsid w:val="74B768C6"/>
    <w:rsid w:val="74C0442B"/>
    <w:rsid w:val="74C55B3F"/>
    <w:rsid w:val="74C7154E"/>
    <w:rsid w:val="74D813B3"/>
    <w:rsid w:val="74DD30E2"/>
    <w:rsid w:val="74DF0013"/>
    <w:rsid w:val="74E249AE"/>
    <w:rsid w:val="74E62DCB"/>
    <w:rsid w:val="74EE25E0"/>
    <w:rsid w:val="74F738DE"/>
    <w:rsid w:val="750556FE"/>
    <w:rsid w:val="750B71A6"/>
    <w:rsid w:val="750F57C8"/>
    <w:rsid w:val="750F6250"/>
    <w:rsid w:val="751A009B"/>
    <w:rsid w:val="75365D06"/>
    <w:rsid w:val="753C4B9E"/>
    <w:rsid w:val="75436915"/>
    <w:rsid w:val="75446D15"/>
    <w:rsid w:val="75507D71"/>
    <w:rsid w:val="75622AAC"/>
    <w:rsid w:val="75640639"/>
    <w:rsid w:val="756A1004"/>
    <w:rsid w:val="756C3DC1"/>
    <w:rsid w:val="756E607F"/>
    <w:rsid w:val="757E63E1"/>
    <w:rsid w:val="75833381"/>
    <w:rsid w:val="75837B7C"/>
    <w:rsid w:val="7588189D"/>
    <w:rsid w:val="75890EEE"/>
    <w:rsid w:val="758977A2"/>
    <w:rsid w:val="758B5C71"/>
    <w:rsid w:val="75A35A3E"/>
    <w:rsid w:val="75A4194B"/>
    <w:rsid w:val="75AECFD8"/>
    <w:rsid w:val="75B70532"/>
    <w:rsid w:val="75B71A94"/>
    <w:rsid w:val="75C1144A"/>
    <w:rsid w:val="75C12685"/>
    <w:rsid w:val="75C51C20"/>
    <w:rsid w:val="75C8076E"/>
    <w:rsid w:val="75D2544B"/>
    <w:rsid w:val="75D75691"/>
    <w:rsid w:val="75E02F4D"/>
    <w:rsid w:val="75E072E7"/>
    <w:rsid w:val="75E52D02"/>
    <w:rsid w:val="75E77356"/>
    <w:rsid w:val="75E9409A"/>
    <w:rsid w:val="75FB5D06"/>
    <w:rsid w:val="760B666C"/>
    <w:rsid w:val="760E2C16"/>
    <w:rsid w:val="76133896"/>
    <w:rsid w:val="76203741"/>
    <w:rsid w:val="762439CB"/>
    <w:rsid w:val="76282E2B"/>
    <w:rsid w:val="763703BC"/>
    <w:rsid w:val="763B2448"/>
    <w:rsid w:val="764366DD"/>
    <w:rsid w:val="764E6FED"/>
    <w:rsid w:val="76500980"/>
    <w:rsid w:val="765731F0"/>
    <w:rsid w:val="765E1290"/>
    <w:rsid w:val="765F5194"/>
    <w:rsid w:val="76673987"/>
    <w:rsid w:val="76695353"/>
    <w:rsid w:val="766C20C2"/>
    <w:rsid w:val="766D79B8"/>
    <w:rsid w:val="766F5CA9"/>
    <w:rsid w:val="76735C01"/>
    <w:rsid w:val="76753696"/>
    <w:rsid w:val="767845D6"/>
    <w:rsid w:val="767E6647"/>
    <w:rsid w:val="76836646"/>
    <w:rsid w:val="76907353"/>
    <w:rsid w:val="7696076E"/>
    <w:rsid w:val="76974B9D"/>
    <w:rsid w:val="76984760"/>
    <w:rsid w:val="769A22F1"/>
    <w:rsid w:val="769A300E"/>
    <w:rsid w:val="76A51258"/>
    <w:rsid w:val="76A73C3A"/>
    <w:rsid w:val="76AB7AC3"/>
    <w:rsid w:val="76AE55A4"/>
    <w:rsid w:val="76B11A70"/>
    <w:rsid w:val="76BDC1AC"/>
    <w:rsid w:val="76BF486A"/>
    <w:rsid w:val="76C7F47A"/>
    <w:rsid w:val="76CC763E"/>
    <w:rsid w:val="76CF105C"/>
    <w:rsid w:val="76DF4924"/>
    <w:rsid w:val="76E34668"/>
    <w:rsid w:val="76F02098"/>
    <w:rsid w:val="76F35976"/>
    <w:rsid w:val="76FB7C23"/>
    <w:rsid w:val="76FC595B"/>
    <w:rsid w:val="770539C1"/>
    <w:rsid w:val="77070A63"/>
    <w:rsid w:val="7708250C"/>
    <w:rsid w:val="77154F40"/>
    <w:rsid w:val="7719221D"/>
    <w:rsid w:val="771B7EB8"/>
    <w:rsid w:val="771D7AFA"/>
    <w:rsid w:val="772F28D5"/>
    <w:rsid w:val="773E131C"/>
    <w:rsid w:val="77514A70"/>
    <w:rsid w:val="775556B3"/>
    <w:rsid w:val="77560535"/>
    <w:rsid w:val="77583D64"/>
    <w:rsid w:val="775D310E"/>
    <w:rsid w:val="775F591C"/>
    <w:rsid w:val="77653ACF"/>
    <w:rsid w:val="776B2934"/>
    <w:rsid w:val="776C2FF9"/>
    <w:rsid w:val="77738646"/>
    <w:rsid w:val="77823383"/>
    <w:rsid w:val="7783056B"/>
    <w:rsid w:val="778B2327"/>
    <w:rsid w:val="778D2A54"/>
    <w:rsid w:val="77915E48"/>
    <w:rsid w:val="7792467E"/>
    <w:rsid w:val="779A7A82"/>
    <w:rsid w:val="779F1CCA"/>
    <w:rsid w:val="77A908D4"/>
    <w:rsid w:val="77AC4A81"/>
    <w:rsid w:val="77B82832"/>
    <w:rsid w:val="77B973EF"/>
    <w:rsid w:val="77C56205"/>
    <w:rsid w:val="77C91CB8"/>
    <w:rsid w:val="77D0750B"/>
    <w:rsid w:val="77D93481"/>
    <w:rsid w:val="77DA1060"/>
    <w:rsid w:val="77DC668C"/>
    <w:rsid w:val="77DF065C"/>
    <w:rsid w:val="77E66378"/>
    <w:rsid w:val="77EFCFEA"/>
    <w:rsid w:val="77F273D8"/>
    <w:rsid w:val="77FB2812"/>
    <w:rsid w:val="77FF4B7A"/>
    <w:rsid w:val="77FF91B6"/>
    <w:rsid w:val="78022FDE"/>
    <w:rsid w:val="78072EA4"/>
    <w:rsid w:val="780D421E"/>
    <w:rsid w:val="78120E1B"/>
    <w:rsid w:val="781B0B0C"/>
    <w:rsid w:val="7820118F"/>
    <w:rsid w:val="7821427B"/>
    <w:rsid w:val="783F411A"/>
    <w:rsid w:val="78461E4F"/>
    <w:rsid w:val="78576968"/>
    <w:rsid w:val="78625B50"/>
    <w:rsid w:val="78666846"/>
    <w:rsid w:val="78697846"/>
    <w:rsid w:val="786B48F9"/>
    <w:rsid w:val="786C5D85"/>
    <w:rsid w:val="786E4DD2"/>
    <w:rsid w:val="78704B5F"/>
    <w:rsid w:val="787410D9"/>
    <w:rsid w:val="78787F87"/>
    <w:rsid w:val="787A14BF"/>
    <w:rsid w:val="788E1BEE"/>
    <w:rsid w:val="78951396"/>
    <w:rsid w:val="789575A2"/>
    <w:rsid w:val="789772EA"/>
    <w:rsid w:val="789978D2"/>
    <w:rsid w:val="789A3FB0"/>
    <w:rsid w:val="78A6102E"/>
    <w:rsid w:val="78AB7035"/>
    <w:rsid w:val="78AC2C4D"/>
    <w:rsid w:val="78B77947"/>
    <w:rsid w:val="78C64762"/>
    <w:rsid w:val="78CF07AC"/>
    <w:rsid w:val="78DF761C"/>
    <w:rsid w:val="78E27CBF"/>
    <w:rsid w:val="78E41E10"/>
    <w:rsid w:val="78E90148"/>
    <w:rsid w:val="78E9381B"/>
    <w:rsid w:val="78F271D7"/>
    <w:rsid w:val="78F31C00"/>
    <w:rsid w:val="78FA40F4"/>
    <w:rsid w:val="790009B6"/>
    <w:rsid w:val="79041A64"/>
    <w:rsid w:val="79073292"/>
    <w:rsid w:val="79073671"/>
    <w:rsid w:val="79083113"/>
    <w:rsid w:val="79101DE6"/>
    <w:rsid w:val="79150DEB"/>
    <w:rsid w:val="791A77A8"/>
    <w:rsid w:val="791E479F"/>
    <w:rsid w:val="791F6672"/>
    <w:rsid w:val="79215340"/>
    <w:rsid w:val="792C20EC"/>
    <w:rsid w:val="792E1E94"/>
    <w:rsid w:val="793F37B1"/>
    <w:rsid w:val="794814AA"/>
    <w:rsid w:val="79507CCE"/>
    <w:rsid w:val="79527482"/>
    <w:rsid w:val="7956473D"/>
    <w:rsid w:val="796C3D0C"/>
    <w:rsid w:val="797582B8"/>
    <w:rsid w:val="797875E2"/>
    <w:rsid w:val="7988126F"/>
    <w:rsid w:val="798B7B54"/>
    <w:rsid w:val="799114EA"/>
    <w:rsid w:val="79A876C5"/>
    <w:rsid w:val="79AF3DC5"/>
    <w:rsid w:val="79C3570F"/>
    <w:rsid w:val="79C6076E"/>
    <w:rsid w:val="79CF12D7"/>
    <w:rsid w:val="79D794E8"/>
    <w:rsid w:val="79D80BE1"/>
    <w:rsid w:val="79DE0095"/>
    <w:rsid w:val="79E46925"/>
    <w:rsid w:val="79EC0EF4"/>
    <w:rsid w:val="79ED5DA7"/>
    <w:rsid w:val="79ED7BF5"/>
    <w:rsid w:val="79F375CC"/>
    <w:rsid w:val="79F968C8"/>
    <w:rsid w:val="79FB505C"/>
    <w:rsid w:val="79FF2E57"/>
    <w:rsid w:val="7A0E3DF3"/>
    <w:rsid w:val="7A165A8A"/>
    <w:rsid w:val="7A1E6D59"/>
    <w:rsid w:val="7A221A11"/>
    <w:rsid w:val="7A2D70B2"/>
    <w:rsid w:val="7A326D3D"/>
    <w:rsid w:val="7A424AD9"/>
    <w:rsid w:val="7A497DC2"/>
    <w:rsid w:val="7A5F7DD8"/>
    <w:rsid w:val="7A612E31"/>
    <w:rsid w:val="7A626B2C"/>
    <w:rsid w:val="7A6F1486"/>
    <w:rsid w:val="7A761088"/>
    <w:rsid w:val="7A7715A2"/>
    <w:rsid w:val="7A7F5DB4"/>
    <w:rsid w:val="7A7F60D1"/>
    <w:rsid w:val="7A7F8E18"/>
    <w:rsid w:val="7A8025F7"/>
    <w:rsid w:val="7A8650BD"/>
    <w:rsid w:val="7A8753C9"/>
    <w:rsid w:val="7A884DCA"/>
    <w:rsid w:val="7A98500E"/>
    <w:rsid w:val="7A9C4FF3"/>
    <w:rsid w:val="7A9F5728"/>
    <w:rsid w:val="7AA56864"/>
    <w:rsid w:val="7AAA217C"/>
    <w:rsid w:val="7AAE3407"/>
    <w:rsid w:val="7AB55B92"/>
    <w:rsid w:val="7AB86D75"/>
    <w:rsid w:val="7AB902F6"/>
    <w:rsid w:val="7AB93D30"/>
    <w:rsid w:val="7ABD18FF"/>
    <w:rsid w:val="7AC0670E"/>
    <w:rsid w:val="7AC26005"/>
    <w:rsid w:val="7ACE0684"/>
    <w:rsid w:val="7AD81B7E"/>
    <w:rsid w:val="7ADA6124"/>
    <w:rsid w:val="7ADBA147"/>
    <w:rsid w:val="7AE45532"/>
    <w:rsid w:val="7AE82707"/>
    <w:rsid w:val="7AF226B1"/>
    <w:rsid w:val="7AF27D45"/>
    <w:rsid w:val="7AF609B5"/>
    <w:rsid w:val="7AFF4711"/>
    <w:rsid w:val="7AFF6755"/>
    <w:rsid w:val="7B007416"/>
    <w:rsid w:val="7B0940E7"/>
    <w:rsid w:val="7B182183"/>
    <w:rsid w:val="7B19134A"/>
    <w:rsid w:val="7B1D3764"/>
    <w:rsid w:val="7B28225E"/>
    <w:rsid w:val="7B29084A"/>
    <w:rsid w:val="7B3319CF"/>
    <w:rsid w:val="7B354382"/>
    <w:rsid w:val="7B372F65"/>
    <w:rsid w:val="7B3A6BDF"/>
    <w:rsid w:val="7B3C1F7D"/>
    <w:rsid w:val="7B47007E"/>
    <w:rsid w:val="7B544A64"/>
    <w:rsid w:val="7B572396"/>
    <w:rsid w:val="7B5FEFE0"/>
    <w:rsid w:val="7B68023D"/>
    <w:rsid w:val="7B691DCE"/>
    <w:rsid w:val="7B7DC525"/>
    <w:rsid w:val="7B7E1F95"/>
    <w:rsid w:val="7B7E4FAA"/>
    <w:rsid w:val="7B863477"/>
    <w:rsid w:val="7B8E47AF"/>
    <w:rsid w:val="7B9663F0"/>
    <w:rsid w:val="7B977DAA"/>
    <w:rsid w:val="7B981B14"/>
    <w:rsid w:val="7B9A151E"/>
    <w:rsid w:val="7B9B473C"/>
    <w:rsid w:val="7BA74C09"/>
    <w:rsid w:val="7BA80D18"/>
    <w:rsid w:val="7BA9632A"/>
    <w:rsid w:val="7BAD61C9"/>
    <w:rsid w:val="7BAE13D5"/>
    <w:rsid w:val="7BAE275F"/>
    <w:rsid w:val="7BB46FAC"/>
    <w:rsid w:val="7BB52976"/>
    <w:rsid w:val="7BB56A53"/>
    <w:rsid w:val="7BC021B0"/>
    <w:rsid w:val="7BC77989"/>
    <w:rsid w:val="7BCD576B"/>
    <w:rsid w:val="7BD161A0"/>
    <w:rsid w:val="7BD6226D"/>
    <w:rsid w:val="7BD953C3"/>
    <w:rsid w:val="7BDF3EDE"/>
    <w:rsid w:val="7BEF71C2"/>
    <w:rsid w:val="7BF05623"/>
    <w:rsid w:val="7BF5807B"/>
    <w:rsid w:val="7BFB35B2"/>
    <w:rsid w:val="7BFF6F6F"/>
    <w:rsid w:val="7C0915AE"/>
    <w:rsid w:val="7C1065EC"/>
    <w:rsid w:val="7C1449D0"/>
    <w:rsid w:val="7C1B6C7E"/>
    <w:rsid w:val="7C1D3961"/>
    <w:rsid w:val="7C2A6DEA"/>
    <w:rsid w:val="7C2E3626"/>
    <w:rsid w:val="7C395C46"/>
    <w:rsid w:val="7C3A1137"/>
    <w:rsid w:val="7C3D4391"/>
    <w:rsid w:val="7C40528B"/>
    <w:rsid w:val="7C444CF8"/>
    <w:rsid w:val="7C4E6C7C"/>
    <w:rsid w:val="7C512E85"/>
    <w:rsid w:val="7C561191"/>
    <w:rsid w:val="7C6823BE"/>
    <w:rsid w:val="7C6975A9"/>
    <w:rsid w:val="7C7160C9"/>
    <w:rsid w:val="7C743009"/>
    <w:rsid w:val="7C7F77DF"/>
    <w:rsid w:val="7C821FDC"/>
    <w:rsid w:val="7C8371B3"/>
    <w:rsid w:val="7C8426BC"/>
    <w:rsid w:val="7C94769A"/>
    <w:rsid w:val="7C9A5D0B"/>
    <w:rsid w:val="7C9D2E6A"/>
    <w:rsid w:val="7CAE3FDD"/>
    <w:rsid w:val="7CBA63FB"/>
    <w:rsid w:val="7CBC6D70"/>
    <w:rsid w:val="7CBD2654"/>
    <w:rsid w:val="7CBF5429"/>
    <w:rsid w:val="7CD607F6"/>
    <w:rsid w:val="7CE84271"/>
    <w:rsid w:val="7CEBBE1C"/>
    <w:rsid w:val="7CEC027A"/>
    <w:rsid w:val="7CEC5AA8"/>
    <w:rsid w:val="7CEC6FE9"/>
    <w:rsid w:val="7CED5325"/>
    <w:rsid w:val="7CF2748B"/>
    <w:rsid w:val="7CF35DDE"/>
    <w:rsid w:val="7CF51B63"/>
    <w:rsid w:val="7CF8049C"/>
    <w:rsid w:val="7CF84703"/>
    <w:rsid w:val="7CFA3192"/>
    <w:rsid w:val="7CFE5896"/>
    <w:rsid w:val="7D0554BA"/>
    <w:rsid w:val="7D0D7D48"/>
    <w:rsid w:val="7D12671E"/>
    <w:rsid w:val="7D273622"/>
    <w:rsid w:val="7D287965"/>
    <w:rsid w:val="7D4251BD"/>
    <w:rsid w:val="7D431846"/>
    <w:rsid w:val="7D4448E3"/>
    <w:rsid w:val="7D451CAD"/>
    <w:rsid w:val="7D4C09B1"/>
    <w:rsid w:val="7D607ABF"/>
    <w:rsid w:val="7D671240"/>
    <w:rsid w:val="7D673CA9"/>
    <w:rsid w:val="7D67461A"/>
    <w:rsid w:val="7D696795"/>
    <w:rsid w:val="7D762D06"/>
    <w:rsid w:val="7D766C94"/>
    <w:rsid w:val="7D7B4DA5"/>
    <w:rsid w:val="7D7F6E6F"/>
    <w:rsid w:val="7D8313FA"/>
    <w:rsid w:val="7D8A0046"/>
    <w:rsid w:val="7D931EC1"/>
    <w:rsid w:val="7DA7E158"/>
    <w:rsid w:val="7DB61C4E"/>
    <w:rsid w:val="7DBC518B"/>
    <w:rsid w:val="7DBF451B"/>
    <w:rsid w:val="7DC139B5"/>
    <w:rsid w:val="7DC518DD"/>
    <w:rsid w:val="7DC774DD"/>
    <w:rsid w:val="7DCA747B"/>
    <w:rsid w:val="7DD441EB"/>
    <w:rsid w:val="7DD71D69"/>
    <w:rsid w:val="7DE92089"/>
    <w:rsid w:val="7DEE23C1"/>
    <w:rsid w:val="7DF11250"/>
    <w:rsid w:val="7DF18F59"/>
    <w:rsid w:val="7DF258AE"/>
    <w:rsid w:val="7DF93975"/>
    <w:rsid w:val="7DFCD429"/>
    <w:rsid w:val="7E161119"/>
    <w:rsid w:val="7E187C04"/>
    <w:rsid w:val="7E1C4369"/>
    <w:rsid w:val="7E434B4D"/>
    <w:rsid w:val="7E44281B"/>
    <w:rsid w:val="7E4703D6"/>
    <w:rsid w:val="7E592945"/>
    <w:rsid w:val="7E5B22EE"/>
    <w:rsid w:val="7E602E4A"/>
    <w:rsid w:val="7E61127B"/>
    <w:rsid w:val="7E620F92"/>
    <w:rsid w:val="7E641663"/>
    <w:rsid w:val="7E6A2E14"/>
    <w:rsid w:val="7E6D011C"/>
    <w:rsid w:val="7E706E3E"/>
    <w:rsid w:val="7E722F3A"/>
    <w:rsid w:val="7E750F24"/>
    <w:rsid w:val="7E8660D0"/>
    <w:rsid w:val="7E885B32"/>
    <w:rsid w:val="7E975F10"/>
    <w:rsid w:val="7E9C140B"/>
    <w:rsid w:val="7EA03E00"/>
    <w:rsid w:val="7EA22DFC"/>
    <w:rsid w:val="7EA36676"/>
    <w:rsid w:val="7EA36D0F"/>
    <w:rsid w:val="7EA66BD6"/>
    <w:rsid w:val="7EA7120C"/>
    <w:rsid w:val="7EA87E0C"/>
    <w:rsid w:val="7EB43B0B"/>
    <w:rsid w:val="7EB72412"/>
    <w:rsid w:val="7EBB5FF7"/>
    <w:rsid w:val="7EBE46D0"/>
    <w:rsid w:val="7EBF44B5"/>
    <w:rsid w:val="7EC05132"/>
    <w:rsid w:val="7EC81B12"/>
    <w:rsid w:val="7EC932C7"/>
    <w:rsid w:val="7ED47721"/>
    <w:rsid w:val="7ED92421"/>
    <w:rsid w:val="7EDA3844"/>
    <w:rsid w:val="7EDC23EC"/>
    <w:rsid w:val="7EDFC70E"/>
    <w:rsid w:val="7EE31608"/>
    <w:rsid w:val="7EE73F34"/>
    <w:rsid w:val="7EED11CF"/>
    <w:rsid w:val="7EEF6FD8"/>
    <w:rsid w:val="7EFB3D84"/>
    <w:rsid w:val="7F04112D"/>
    <w:rsid w:val="7F0D5B31"/>
    <w:rsid w:val="7F124073"/>
    <w:rsid w:val="7F155424"/>
    <w:rsid w:val="7F15741E"/>
    <w:rsid w:val="7F1A28F4"/>
    <w:rsid w:val="7F1C6EF2"/>
    <w:rsid w:val="7F1E4274"/>
    <w:rsid w:val="7F291E09"/>
    <w:rsid w:val="7F2E9D5F"/>
    <w:rsid w:val="7F310F6B"/>
    <w:rsid w:val="7F323B39"/>
    <w:rsid w:val="7F3F4F3D"/>
    <w:rsid w:val="7F445491"/>
    <w:rsid w:val="7F5168FF"/>
    <w:rsid w:val="7F544A77"/>
    <w:rsid w:val="7F555F62"/>
    <w:rsid w:val="7F5851AA"/>
    <w:rsid w:val="7F5FB853"/>
    <w:rsid w:val="7F6C19DE"/>
    <w:rsid w:val="7F6E2514"/>
    <w:rsid w:val="7F774B8D"/>
    <w:rsid w:val="7F7B7F13"/>
    <w:rsid w:val="7F7E5882"/>
    <w:rsid w:val="7F871A20"/>
    <w:rsid w:val="7F8C32F3"/>
    <w:rsid w:val="7F998282"/>
    <w:rsid w:val="7F9F7615"/>
    <w:rsid w:val="7FA33145"/>
    <w:rsid w:val="7FAA15DA"/>
    <w:rsid w:val="7FAB1120"/>
    <w:rsid w:val="7FB151E4"/>
    <w:rsid w:val="7FBA5659"/>
    <w:rsid w:val="7FBE2049"/>
    <w:rsid w:val="7FBE94FD"/>
    <w:rsid w:val="7FBF0D15"/>
    <w:rsid w:val="7FBF1A08"/>
    <w:rsid w:val="7FBF4184"/>
    <w:rsid w:val="7FBF78F6"/>
    <w:rsid w:val="7FC33949"/>
    <w:rsid w:val="7FC7322C"/>
    <w:rsid w:val="7FC7697C"/>
    <w:rsid w:val="7FD15A2A"/>
    <w:rsid w:val="7FD53E1D"/>
    <w:rsid w:val="7FDE029F"/>
    <w:rsid w:val="7FDEAE3E"/>
    <w:rsid w:val="7FE7899C"/>
    <w:rsid w:val="7FE9691C"/>
    <w:rsid w:val="7FEF73AF"/>
    <w:rsid w:val="7FF72464"/>
    <w:rsid w:val="7FF7FC97"/>
    <w:rsid w:val="7FFA3974"/>
    <w:rsid w:val="7FFBF3C2"/>
    <w:rsid w:val="7FFC06FB"/>
    <w:rsid w:val="7FFC6EAC"/>
    <w:rsid w:val="7FFD3B5C"/>
    <w:rsid w:val="7FFD7A1A"/>
    <w:rsid w:val="7FFE46D1"/>
    <w:rsid w:val="7FFF010D"/>
    <w:rsid w:val="7FFFAF3A"/>
    <w:rsid w:val="7FFFF41E"/>
    <w:rsid w:val="82E3557D"/>
    <w:rsid w:val="8BDD54E5"/>
    <w:rsid w:val="8F7BB10B"/>
    <w:rsid w:val="95ABCF9E"/>
    <w:rsid w:val="9BCEC2DE"/>
    <w:rsid w:val="9CAB95FB"/>
    <w:rsid w:val="9E7FBE7F"/>
    <w:rsid w:val="9E97EFF4"/>
    <w:rsid w:val="9EF7EB1C"/>
    <w:rsid w:val="9EFB7648"/>
    <w:rsid w:val="9EFC6E22"/>
    <w:rsid w:val="A7690F7C"/>
    <w:rsid w:val="A7DAC9A9"/>
    <w:rsid w:val="A7F6B99F"/>
    <w:rsid w:val="A99DDEC6"/>
    <w:rsid w:val="AA672C88"/>
    <w:rsid w:val="AB7D293A"/>
    <w:rsid w:val="AB7E3B66"/>
    <w:rsid w:val="ABF1A71A"/>
    <w:rsid w:val="ACAF54AB"/>
    <w:rsid w:val="ADF54D34"/>
    <w:rsid w:val="AEC579DD"/>
    <w:rsid w:val="AEF74453"/>
    <w:rsid w:val="AEFB9D1C"/>
    <w:rsid w:val="AF330CCE"/>
    <w:rsid w:val="AFFB85CA"/>
    <w:rsid w:val="AFFC12F9"/>
    <w:rsid w:val="B3F90ABF"/>
    <w:rsid w:val="B60E7EFF"/>
    <w:rsid w:val="B76DF046"/>
    <w:rsid w:val="B9AB1DBE"/>
    <w:rsid w:val="BBB93460"/>
    <w:rsid w:val="BBF15A71"/>
    <w:rsid w:val="BBF784BD"/>
    <w:rsid w:val="BDD96C56"/>
    <w:rsid w:val="BEAE7696"/>
    <w:rsid w:val="BEBBE09A"/>
    <w:rsid w:val="BEF744A1"/>
    <w:rsid w:val="BEFF1A73"/>
    <w:rsid w:val="BF7AE44D"/>
    <w:rsid w:val="BFA743E6"/>
    <w:rsid w:val="BFC6E082"/>
    <w:rsid w:val="BFE93AD1"/>
    <w:rsid w:val="BFF7414F"/>
    <w:rsid w:val="BFFB66F2"/>
    <w:rsid w:val="BFFF8D83"/>
    <w:rsid w:val="BFFFA96B"/>
    <w:rsid w:val="C1DFD849"/>
    <w:rsid w:val="CBBBC87E"/>
    <w:rsid w:val="CCFFAC8E"/>
    <w:rsid w:val="CEBEA94C"/>
    <w:rsid w:val="CEF77141"/>
    <w:rsid w:val="CF5F8FD0"/>
    <w:rsid w:val="CFFD86BB"/>
    <w:rsid w:val="D39E9873"/>
    <w:rsid w:val="D3FB48FB"/>
    <w:rsid w:val="D3FDF010"/>
    <w:rsid w:val="D57B38FE"/>
    <w:rsid w:val="D63F5328"/>
    <w:rsid w:val="D7248009"/>
    <w:rsid w:val="D72C38E7"/>
    <w:rsid w:val="D7DA1474"/>
    <w:rsid w:val="D7FB5D3B"/>
    <w:rsid w:val="D7FD2BFC"/>
    <w:rsid w:val="DD7A6CEB"/>
    <w:rsid w:val="DD9F83AD"/>
    <w:rsid w:val="DDA76D7B"/>
    <w:rsid w:val="DDFDC325"/>
    <w:rsid w:val="DEDF9462"/>
    <w:rsid w:val="DEE5D2F9"/>
    <w:rsid w:val="DF9FBD9A"/>
    <w:rsid w:val="DFAD659F"/>
    <w:rsid w:val="DFCF7B5C"/>
    <w:rsid w:val="DFDFCA2F"/>
    <w:rsid w:val="DFF38CD8"/>
    <w:rsid w:val="DFFBF22E"/>
    <w:rsid w:val="DFFF227B"/>
    <w:rsid w:val="E0DF5C7B"/>
    <w:rsid w:val="E25F891D"/>
    <w:rsid w:val="E66F760F"/>
    <w:rsid w:val="E7BF9184"/>
    <w:rsid w:val="E7CE9F0E"/>
    <w:rsid w:val="E7DFC882"/>
    <w:rsid w:val="EAFB7238"/>
    <w:rsid w:val="EBAB5F4C"/>
    <w:rsid w:val="EBFB10D6"/>
    <w:rsid w:val="ECFBF5F8"/>
    <w:rsid w:val="EDBF0857"/>
    <w:rsid w:val="EDD7CB6B"/>
    <w:rsid w:val="EDF7CDF8"/>
    <w:rsid w:val="EDFDF1B9"/>
    <w:rsid w:val="EDFF331D"/>
    <w:rsid w:val="EE49E03B"/>
    <w:rsid w:val="EFAFE4F2"/>
    <w:rsid w:val="EFC11611"/>
    <w:rsid w:val="EFCF7649"/>
    <w:rsid w:val="EFDF3A88"/>
    <w:rsid w:val="EFDFBC5E"/>
    <w:rsid w:val="EFEE1FBD"/>
    <w:rsid w:val="EFEFE8BF"/>
    <w:rsid w:val="EFF5BA85"/>
    <w:rsid w:val="EFFD4046"/>
    <w:rsid w:val="F2AF7E5B"/>
    <w:rsid w:val="F2F54B42"/>
    <w:rsid w:val="F43E4DE7"/>
    <w:rsid w:val="F5FE4904"/>
    <w:rsid w:val="F6320671"/>
    <w:rsid w:val="F729CB1D"/>
    <w:rsid w:val="F771F97D"/>
    <w:rsid w:val="F77F8C67"/>
    <w:rsid w:val="F77FEF83"/>
    <w:rsid w:val="F7BFE839"/>
    <w:rsid w:val="F7DCC938"/>
    <w:rsid w:val="F907BFEA"/>
    <w:rsid w:val="F9EE37F4"/>
    <w:rsid w:val="FABBF378"/>
    <w:rsid w:val="FAFF5E29"/>
    <w:rsid w:val="FB76C3EC"/>
    <w:rsid w:val="FBB2AB8C"/>
    <w:rsid w:val="FBEE2F3E"/>
    <w:rsid w:val="FBFD3CB2"/>
    <w:rsid w:val="FBFFCD79"/>
    <w:rsid w:val="FCEB9F0B"/>
    <w:rsid w:val="FCFF0A34"/>
    <w:rsid w:val="FD7F42D0"/>
    <w:rsid w:val="FD9ECCA1"/>
    <w:rsid w:val="FDC31314"/>
    <w:rsid w:val="FDDF74CF"/>
    <w:rsid w:val="FDF6D7AC"/>
    <w:rsid w:val="FDFF44CD"/>
    <w:rsid w:val="FE6F95E7"/>
    <w:rsid w:val="FE75C4DE"/>
    <w:rsid w:val="FEC7C372"/>
    <w:rsid w:val="FED7B042"/>
    <w:rsid w:val="FEF41F11"/>
    <w:rsid w:val="FF2D9B63"/>
    <w:rsid w:val="FF35AF93"/>
    <w:rsid w:val="FF3E9A4F"/>
    <w:rsid w:val="FF5B9BE4"/>
    <w:rsid w:val="FF765E2D"/>
    <w:rsid w:val="FF7745C2"/>
    <w:rsid w:val="FF9FDD25"/>
    <w:rsid w:val="FFB60925"/>
    <w:rsid w:val="FFBE5471"/>
    <w:rsid w:val="FFBF4CE9"/>
    <w:rsid w:val="FFBFCDF9"/>
    <w:rsid w:val="FFC4DF43"/>
    <w:rsid w:val="FFCFEBC4"/>
    <w:rsid w:val="FFDAE1CB"/>
    <w:rsid w:val="FFDE5D16"/>
    <w:rsid w:val="FFDEB093"/>
    <w:rsid w:val="FFDFE85C"/>
    <w:rsid w:val="FFE41086"/>
    <w:rsid w:val="FFE55F51"/>
    <w:rsid w:val="FFE783C8"/>
    <w:rsid w:val="FFE9531D"/>
    <w:rsid w:val="FFFADCA4"/>
    <w:rsid w:val="FFFB1954"/>
    <w:rsid w:val="FFFB3B4F"/>
    <w:rsid w:val="FFFB42E9"/>
    <w:rsid w:val="FFFCF1EF"/>
    <w:rsid w:val="FFFF446A"/>
    <w:rsid w:val="FFFF5D00"/>
    <w:rsid w:val="FFFF6E6A"/>
    <w:rsid w:val="FFFF717D"/>
    <w:rsid w:val="FFFF9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5"/>
    <w:unhideWhenUsed/>
    <w:qFormat/>
    <w:uiPriority w:val="9"/>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unhideWhenUsed/>
    <w:qFormat/>
    <w:uiPriority w:val="0"/>
    <w:pPr>
      <w:spacing w:beforeAutospacing="1" w:afterAutospacing="1"/>
      <w:jc w:val="left"/>
      <w:outlineLvl w:val="2"/>
    </w:pPr>
    <w:rPr>
      <w:rFonts w:hint="eastAsia" w:ascii="宋体" w:hAnsi="宋体"/>
      <w:b/>
      <w:kern w:val="0"/>
      <w:sz w:val="27"/>
      <w:szCs w:val="27"/>
    </w:rPr>
  </w:style>
  <w:style w:type="character" w:default="1" w:styleId="26">
    <w:name w:val="Default Paragraph Font"/>
    <w:semiHidden/>
    <w:unhideWhenUsed/>
    <w:uiPriority w:val="1"/>
  </w:style>
  <w:style w:type="table" w:default="1" w:styleId="32">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42"/>
    <w:qFormat/>
    <w:uiPriority w:val="0"/>
    <w:rPr>
      <w:b/>
      <w:bCs/>
    </w:rPr>
  </w:style>
  <w:style w:type="paragraph" w:styleId="6">
    <w:name w:val="annotation text"/>
    <w:basedOn w:val="1"/>
    <w:link w:val="43"/>
    <w:qFormat/>
    <w:uiPriority w:val="0"/>
    <w:pPr>
      <w:jc w:val="left"/>
    </w:pPr>
  </w:style>
  <w:style w:type="paragraph" w:styleId="7">
    <w:name w:val="Body Text First Indent"/>
    <w:basedOn w:val="8"/>
    <w:qFormat/>
    <w:uiPriority w:val="0"/>
    <w:pPr>
      <w:ind w:firstLine="420" w:firstLineChars="100"/>
    </w:pPr>
  </w:style>
  <w:style w:type="paragraph" w:styleId="8">
    <w:name w:val="Body Text"/>
    <w:basedOn w:val="1"/>
    <w:next w:val="9"/>
    <w:link w:val="47"/>
    <w:qFormat/>
    <w:uiPriority w:val="0"/>
    <w:pPr>
      <w:spacing w:after="120"/>
    </w:pPr>
    <w:rPr>
      <w:rFonts w:ascii="Times New Roman" w:hAnsi="Times New Roman"/>
      <w:szCs w:val="24"/>
    </w:rPr>
  </w:style>
  <w:style w:type="paragraph" w:styleId="9">
    <w:name w:val="Title"/>
    <w:basedOn w:val="1"/>
    <w:next w:val="1"/>
    <w:qFormat/>
    <w:uiPriority w:val="0"/>
    <w:pPr>
      <w:jc w:val="center"/>
      <w:outlineLvl w:val="0"/>
    </w:pPr>
    <w:rPr>
      <w:rFonts w:ascii="DejaVu Sans" w:hAnsi="DejaVu Sans"/>
      <w:b/>
      <w:sz w:val="32"/>
    </w:rPr>
  </w:style>
  <w:style w:type="paragraph" w:styleId="10">
    <w:name w:val="Normal Indent"/>
    <w:basedOn w:val="1"/>
    <w:next w:val="1"/>
    <w:qFormat/>
    <w:uiPriority w:val="0"/>
    <w:pPr>
      <w:ind w:firstLine="200" w:firstLineChars="200"/>
    </w:pPr>
  </w:style>
  <w:style w:type="paragraph" w:styleId="11">
    <w:name w:val="caption"/>
    <w:basedOn w:val="1"/>
    <w:next w:val="1"/>
    <w:unhideWhenUsed/>
    <w:qFormat/>
    <w:uiPriority w:val="0"/>
    <w:rPr>
      <w:rFonts w:ascii="Arial" w:hAnsi="Arial" w:eastAsia="黑体"/>
      <w:sz w:val="20"/>
    </w:rPr>
  </w:style>
  <w:style w:type="paragraph" w:styleId="12">
    <w:name w:val="Document Map"/>
    <w:basedOn w:val="1"/>
    <w:link w:val="50"/>
    <w:qFormat/>
    <w:uiPriority w:val="0"/>
    <w:pPr>
      <w:shd w:val="clear" w:color="auto" w:fill="000080"/>
    </w:pPr>
  </w:style>
  <w:style w:type="paragraph" w:styleId="13">
    <w:name w:val="Body Text Indent"/>
    <w:basedOn w:val="1"/>
    <w:qFormat/>
    <w:uiPriority w:val="0"/>
    <w:pPr>
      <w:spacing w:after="120"/>
      <w:ind w:left="420" w:leftChars="200"/>
    </w:pPr>
  </w:style>
  <w:style w:type="paragraph" w:styleId="14">
    <w:name w:val="toc 3"/>
    <w:basedOn w:val="1"/>
    <w:next w:val="1"/>
    <w:qFormat/>
    <w:uiPriority w:val="39"/>
    <w:pPr>
      <w:ind w:left="840" w:leftChars="400"/>
    </w:pPr>
  </w:style>
  <w:style w:type="paragraph" w:styleId="15">
    <w:name w:val="Plain Text"/>
    <w:basedOn w:val="1"/>
    <w:link w:val="49"/>
    <w:qFormat/>
    <w:uiPriority w:val="0"/>
    <w:rPr>
      <w:rFonts w:ascii="宋体" w:hAnsi="Courier New"/>
    </w:rPr>
  </w:style>
  <w:style w:type="paragraph" w:styleId="16">
    <w:name w:val="Body Text Indent 2"/>
    <w:basedOn w:val="1"/>
    <w:qFormat/>
    <w:uiPriority w:val="0"/>
    <w:pPr>
      <w:spacing w:after="120" w:line="480" w:lineRule="auto"/>
      <w:ind w:left="420" w:leftChars="200"/>
    </w:pPr>
  </w:style>
  <w:style w:type="paragraph" w:styleId="17">
    <w:name w:val="endnote text"/>
    <w:basedOn w:val="1"/>
    <w:link w:val="46"/>
    <w:qFormat/>
    <w:uiPriority w:val="0"/>
    <w:pPr>
      <w:snapToGrid w:val="0"/>
      <w:jc w:val="left"/>
    </w:pPr>
  </w:style>
  <w:style w:type="paragraph" w:styleId="18">
    <w:name w:val="Balloon Text"/>
    <w:basedOn w:val="1"/>
    <w:link w:val="45"/>
    <w:qFormat/>
    <w:uiPriority w:val="0"/>
    <w:rPr>
      <w:sz w:val="18"/>
      <w:szCs w:val="18"/>
    </w:rPr>
  </w:style>
  <w:style w:type="paragraph" w:styleId="19">
    <w:name w:val="footer"/>
    <w:basedOn w:val="1"/>
    <w:link w:val="48"/>
    <w:unhideWhenUsed/>
    <w:qFormat/>
    <w:uiPriority w:val="99"/>
    <w:pPr>
      <w:tabs>
        <w:tab w:val="center" w:pos="4153"/>
        <w:tab w:val="right" w:pos="8306"/>
      </w:tabs>
      <w:snapToGrid w:val="0"/>
      <w:jc w:val="left"/>
    </w:pPr>
    <w:rPr>
      <w:sz w:val="18"/>
      <w:szCs w:val="18"/>
    </w:rPr>
  </w:style>
  <w:style w:type="paragraph" w:styleId="20">
    <w:name w:val="Body Text First Indent 2"/>
    <w:basedOn w:val="13"/>
    <w:qFormat/>
    <w:uiPriority w:val="0"/>
    <w:pPr>
      <w:ind w:firstLine="420" w:firstLineChars="200"/>
    </w:pPr>
    <w:rPr>
      <w:rFonts w:ascii="Times New Roman" w:hAnsi="Times New Roman"/>
    </w:rPr>
  </w:style>
  <w:style w:type="paragraph" w:styleId="21">
    <w:name w:val="header"/>
    <w:basedOn w:val="1"/>
    <w:link w:val="40"/>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spacing w:before="360"/>
      <w:jc w:val="left"/>
    </w:pPr>
    <w:rPr>
      <w:rFonts w:ascii="Cambria" w:hAnsi="Cambria" w:eastAsia="仿宋_GB2312"/>
      <w:b/>
      <w:bCs/>
      <w:caps/>
      <w:w w:val="90"/>
      <w:sz w:val="24"/>
      <w:szCs w:val="24"/>
    </w:rPr>
  </w:style>
  <w:style w:type="paragraph" w:styleId="23">
    <w:name w:val="footnote text"/>
    <w:basedOn w:val="1"/>
    <w:link w:val="39"/>
    <w:qFormat/>
    <w:uiPriority w:val="99"/>
    <w:pPr>
      <w:snapToGrid w:val="0"/>
      <w:jc w:val="left"/>
    </w:pPr>
    <w:rPr>
      <w:sz w:val="18"/>
      <w:szCs w:val="18"/>
    </w:rPr>
  </w:style>
  <w:style w:type="paragraph" w:styleId="24">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2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27">
    <w:name w:val="Strong"/>
    <w:basedOn w:val="26"/>
    <w:qFormat/>
    <w:uiPriority w:val="0"/>
    <w:rPr>
      <w:b/>
    </w:rPr>
  </w:style>
  <w:style w:type="character" w:styleId="28">
    <w:name w:val="endnote reference"/>
    <w:basedOn w:val="26"/>
    <w:qFormat/>
    <w:uiPriority w:val="0"/>
    <w:rPr>
      <w:vertAlign w:val="superscript"/>
    </w:rPr>
  </w:style>
  <w:style w:type="character" w:styleId="29">
    <w:name w:val="Hyperlink"/>
    <w:basedOn w:val="26"/>
    <w:qFormat/>
    <w:uiPriority w:val="99"/>
    <w:rPr>
      <w:rFonts w:cs="Times New Roman"/>
      <w:color w:val="0000FF"/>
      <w:u w:val="single"/>
    </w:rPr>
  </w:style>
  <w:style w:type="character" w:styleId="30">
    <w:name w:val="annotation reference"/>
    <w:basedOn w:val="26"/>
    <w:qFormat/>
    <w:uiPriority w:val="0"/>
    <w:rPr>
      <w:sz w:val="21"/>
      <w:szCs w:val="21"/>
    </w:rPr>
  </w:style>
  <w:style w:type="character" w:styleId="31">
    <w:name w:val="footnote reference"/>
    <w:basedOn w:val="26"/>
    <w:qFormat/>
    <w:uiPriority w:val="0"/>
    <w:rPr>
      <w:vertAlign w:val="superscript"/>
    </w:rPr>
  </w:style>
  <w:style w:type="table" w:styleId="33">
    <w:name w:val="Table Grid"/>
    <w:basedOn w:val="3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34">
    <w:name w:val="样式11"/>
    <w:basedOn w:val="2"/>
    <w:qFormat/>
    <w:uiPriority w:val="0"/>
    <w:rPr>
      <w:rFonts w:ascii="黑体" w:hAnsi="黑体"/>
      <w:sz w:val="32"/>
      <w:szCs w:val="32"/>
    </w:rPr>
  </w:style>
  <w:style w:type="character" w:customStyle="1" w:styleId="35">
    <w:name w:val="标题 2 字符"/>
    <w:basedOn w:val="26"/>
    <w:link w:val="3"/>
    <w:qFormat/>
    <w:uiPriority w:val="9"/>
    <w:rPr>
      <w:rFonts w:ascii="Calibri Light" w:hAnsi="Calibri Light" w:eastAsia="宋体" w:cs="Times New Roman"/>
      <w:b/>
      <w:bCs/>
      <w:kern w:val="2"/>
      <w:sz w:val="32"/>
      <w:szCs w:val="32"/>
    </w:rPr>
  </w:style>
  <w:style w:type="paragraph" w:customStyle="1" w:styleId="36">
    <w:name w:val="Char Char Char Char"/>
    <w:basedOn w:val="1"/>
    <w:qFormat/>
    <w:uiPriority w:val="0"/>
    <w:pPr>
      <w:widowControl/>
      <w:spacing w:line="240" w:lineRule="exact"/>
      <w:jc w:val="left"/>
    </w:pPr>
    <w:rPr>
      <w:rFonts w:ascii="Tahoma" w:hAnsi="Tahoma" w:cs="黑体"/>
      <w:kern w:val="0"/>
      <w:sz w:val="24"/>
    </w:rPr>
  </w:style>
  <w:style w:type="paragraph" w:customStyle="1" w:styleId="37">
    <w:name w:val="列表段落1"/>
    <w:basedOn w:val="1"/>
    <w:unhideWhenUsed/>
    <w:qFormat/>
    <w:uiPriority w:val="34"/>
    <w:pPr>
      <w:ind w:firstLine="420" w:firstLineChars="200"/>
    </w:pPr>
  </w:style>
  <w:style w:type="paragraph" w:customStyle="1" w:styleId="38">
    <w:name w:val="默认段落字体 Para Char Char Char Char Char Char Char"/>
    <w:basedOn w:val="1"/>
    <w:qFormat/>
    <w:uiPriority w:val="0"/>
    <w:rPr>
      <w:rFonts w:ascii="Tahoma" w:hAnsi="Tahoma"/>
      <w:sz w:val="24"/>
      <w:szCs w:val="20"/>
    </w:rPr>
  </w:style>
  <w:style w:type="character" w:customStyle="1" w:styleId="39">
    <w:name w:val="脚注文本 字符"/>
    <w:basedOn w:val="26"/>
    <w:link w:val="23"/>
    <w:qFormat/>
    <w:uiPriority w:val="99"/>
    <w:rPr>
      <w:rFonts w:ascii="Calibri" w:hAnsi="Calibri"/>
      <w:kern w:val="2"/>
      <w:sz w:val="18"/>
      <w:szCs w:val="18"/>
    </w:rPr>
  </w:style>
  <w:style w:type="character" w:customStyle="1" w:styleId="40">
    <w:name w:val="页眉 字符"/>
    <w:basedOn w:val="26"/>
    <w:link w:val="21"/>
    <w:qFormat/>
    <w:uiPriority w:val="0"/>
    <w:rPr>
      <w:rFonts w:ascii="Calibri" w:hAnsi="Calibri"/>
      <w:kern w:val="2"/>
      <w:sz w:val="18"/>
      <w:szCs w:val="18"/>
    </w:rPr>
  </w:style>
  <w:style w:type="character" w:customStyle="1" w:styleId="41">
    <w:name w:val="font11"/>
    <w:basedOn w:val="26"/>
    <w:qFormat/>
    <w:uiPriority w:val="0"/>
    <w:rPr>
      <w:rFonts w:hint="eastAsia" w:ascii="宋体" w:hAnsi="宋体" w:eastAsia="宋体" w:cs="宋体"/>
      <w:color w:val="000000"/>
      <w:sz w:val="20"/>
      <w:szCs w:val="20"/>
      <w:u w:val="none"/>
    </w:rPr>
  </w:style>
  <w:style w:type="character" w:customStyle="1" w:styleId="42">
    <w:name w:val="批注主题 字符"/>
    <w:basedOn w:val="43"/>
    <w:link w:val="5"/>
    <w:qFormat/>
    <w:uiPriority w:val="0"/>
    <w:rPr>
      <w:rFonts w:ascii="Calibri" w:hAnsi="Calibri"/>
      <w:b/>
      <w:bCs/>
      <w:kern w:val="2"/>
      <w:sz w:val="21"/>
      <w:szCs w:val="22"/>
    </w:rPr>
  </w:style>
  <w:style w:type="character" w:customStyle="1" w:styleId="43">
    <w:name w:val="批注文字 字符"/>
    <w:basedOn w:val="26"/>
    <w:link w:val="6"/>
    <w:qFormat/>
    <w:uiPriority w:val="0"/>
    <w:rPr>
      <w:rFonts w:ascii="Calibri" w:hAnsi="Calibri"/>
      <w:kern w:val="2"/>
      <w:sz w:val="21"/>
      <w:szCs w:val="22"/>
    </w:rPr>
  </w:style>
  <w:style w:type="character" w:customStyle="1" w:styleId="44">
    <w:name w:val="font31"/>
    <w:basedOn w:val="26"/>
    <w:qFormat/>
    <w:uiPriority w:val="0"/>
    <w:rPr>
      <w:rFonts w:hint="eastAsia" w:ascii="宋体" w:hAnsi="宋体" w:eastAsia="宋体" w:cs="宋体"/>
      <w:color w:val="000000"/>
      <w:sz w:val="20"/>
      <w:szCs w:val="20"/>
      <w:u w:val="none"/>
    </w:rPr>
  </w:style>
  <w:style w:type="character" w:customStyle="1" w:styleId="45">
    <w:name w:val="批注框文本 字符"/>
    <w:basedOn w:val="26"/>
    <w:link w:val="18"/>
    <w:qFormat/>
    <w:uiPriority w:val="0"/>
    <w:rPr>
      <w:rFonts w:ascii="Calibri" w:hAnsi="Calibri"/>
      <w:kern w:val="2"/>
      <w:sz w:val="18"/>
      <w:szCs w:val="18"/>
    </w:rPr>
  </w:style>
  <w:style w:type="character" w:customStyle="1" w:styleId="46">
    <w:name w:val="尾注文本 字符"/>
    <w:basedOn w:val="26"/>
    <w:link w:val="17"/>
    <w:qFormat/>
    <w:uiPriority w:val="0"/>
    <w:rPr>
      <w:rFonts w:ascii="Calibri" w:hAnsi="Calibri"/>
      <w:kern w:val="2"/>
      <w:sz w:val="21"/>
      <w:szCs w:val="22"/>
    </w:rPr>
  </w:style>
  <w:style w:type="character" w:customStyle="1" w:styleId="47">
    <w:name w:val="正文文本 字符"/>
    <w:basedOn w:val="26"/>
    <w:link w:val="8"/>
    <w:qFormat/>
    <w:uiPriority w:val="0"/>
    <w:rPr>
      <w:kern w:val="2"/>
      <w:sz w:val="21"/>
      <w:szCs w:val="24"/>
    </w:rPr>
  </w:style>
  <w:style w:type="character" w:customStyle="1" w:styleId="48">
    <w:name w:val="页脚 字符"/>
    <w:basedOn w:val="26"/>
    <w:link w:val="19"/>
    <w:qFormat/>
    <w:uiPriority w:val="0"/>
    <w:rPr>
      <w:kern w:val="2"/>
      <w:sz w:val="18"/>
      <w:szCs w:val="18"/>
    </w:rPr>
  </w:style>
  <w:style w:type="character" w:customStyle="1" w:styleId="49">
    <w:name w:val="纯文本 字符"/>
    <w:basedOn w:val="26"/>
    <w:link w:val="15"/>
    <w:qFormat/>
    <w:uiPriority w:val="0"/>
    <w:rPr>
      <w:rFonts w:ascii="等线" w:hAnsi="Courier New" w:eastAsia="等线" w:cs="Courier New"/>
      <w:kern w:val="2"/>
      <w:sz w:val="21"/>
      <w:szCs w:val="24"/>
    </w:rPr>
  </w:style>
  <w:style w:type="character" w:customStyle="1" w:styleId="50">
    <w:name w:val="文档结构图 字符"/>
    <w:basedOn w:val="26"/>
    <w:link w:val="12"/>
    <w:qFormat/>
    <w:uiPriority w:val="0"/>
    <w:rPr>
      <w:rFonts w:hint="default" w:ascii="Abel" w:hAnsi="Abel" w:eastAsia="仿宋_GB2312" w:cs="Abel"/>
      <w:spacing w:val="0"/>
      <w:kern w:val="2"/>
      <w:sz w:val="26"/>
      <w:szCs w:val="26"/>
    </w:rPr>
  </w:style>
  <w:style w:type="paragraph" w:customStyle="1" w:styleId="51">
    <w:name w:val="公文正文"/>
    <w:basedOn w:val="1"/>
    <w:qFormat/>
    <w:uiPriority w:val="0"/>
    <w:pPr>
      <w:spacing w:line="578" w:lineRule="exact"/>
      <w:ind w:firstLine="420" w:firstLineChars="200"/>
    </w:pPr>
    <w:rPr>
      <w:rFonts w:hint="eastAsia" w:ascii="仿宋_GB2312" w:hAnsi="宋体" w:eastAsia="仿宋_GB2312"/>
      <w:sz w:val="32"/>
      <w:szCs w:val="32"/>
    </w:rPr>
  </w:style>
  <w:style w:type="character" w:customStyle="1" w:styleId="52">
    <w:name w:val="公文正文 Char"/>
    <w:basedOn w:val="26"/>
    <w:qFormat/>
    <w:uiPriority w:val="0"/>
    <w:rPr>
      <w:rFonts w:hint="eastAsia" w:ascii="仿宋_GB2312" w:hAnsi="仿宋_GB2312" w:eastAsia="仿宋_GB2312" w:cs="Times New Roman"/>
      <w:spacing w:val="0"/>
      <w:kern w:val="2"/>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1876</Words>
  <Characters>10698</Characters>
  <Lines>89</Lines>
  <Paragraphs>25</Paragraphs>
  <TotalTime>66</TotalTime>
  <ScaleCrop>false</ScaleCrop>
  <LinksUpToDate>false</LinksUpToDate>
  <CharactersWithSpaces>12549</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2019-07-08T23:15:00Z</dcterms:created>
  <dc:creator>Administrator</dc:creator>
  <cp:lastModifiedBy>admin</cp:lastModifiedBy>
  <cp:lastPrinted>2019-07-24T17:04:00Z</cp:lastPrinted>
  <dcterms:modified xsi:type="dcterms:W3CDTF">2025-08-29T09:48:03Z</dcterms:modified>
  <dc:title>2020年度北京市规划和自然资源委员会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y fmtid="{D5CDD505-2E9C-101B-9397-08002B2CF9AE}" pid="3" name="ICV">
    <vt:lpwstr>8CC9CBCAAA297EBC7526B0689EA20890_43</vt:lpwstr>
  </property>
  <property fmtid="{D5CDD505-2E9C-101B-9397-08002B2CF9AE}" pid="4" name="KSOTemplateDocerSaveRecord">
    <vt:lpwstr>eyJoZGlkIjoiNGEwOWI0N2Y1NGM2ZTQ4MjZlZTNjZDE3MzJlNWQxZGUiLCJ1c2VySWQiOiIyNDEzODU4NDUifQ==</vt:lpwstr>
  </property>
</Properties>
</file>