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hint="eastAsia" w:ascii="黑体" w:hAnsi="宋体" w:eastAsia="黑体"/>
          <w:color w:val="auto"/>
          <w:sz w:val="48"/>
          <w:szCs w:val="48"/>
          <w:highlight w:val="none"/>
          <w:lang w:val="en-US" w:eastAsia="zh-CN"/>
        </w:rPr>
      </w:pPr>
    </w:p>
    <w:p>
      <w:pPr>
        <w:spacing w:line="360" w:lineRule="auto"/>
        <w:rPr>
          <w:rFonts w:ascii="黑体" w:hAnsi="宋体" w:eastAsia="黑体"/>
          <w:color w:val="auto"/>
          <w:sz w:val="48"/>
          <w:szCs w:val="48"/>
          <w:highlight w:val="none"/>
        </w:rPr>
      </w:pPr>
    </w:p>
    <w:p>
      <w:pPr>
        <w:adjustRightInd w:val="0"/>
        <w:snapToGrid w:val="0"/>
        <w:spacing w:line="360" w:lineRule="auto"/>
        <w:jc w:val="center"/>
        <w:rPr>
          <w:rFonts w:ascii="楷体" w:hAnsi="楷体" w:eastAsia="楷体"/>
          <w:b/>
          <w:color w:val="auto"/>
          <w:sz w:val="36"/>
          <w:szCs w:val="36"/>
          <w:highlight w:val="none"/>
          <w:lang w:val="zh-CN"/>
        </w:rPr>
      </w:pPr>
      <w:r>
        <w:rPr>
          <w:rFonts w:hint="eastAsia" w:ascii="楷体" w:hAnsi="楷体" w:eastAsia="楷体"/>
          <w:b/>
          <w:color w:val="auto"/>
          <w:sz w:val="36"/>
          <w:szCs w:val="36"/>
          <w:highlight w:val="none"/>
          <w:lang w:val="zh-CN"/>
        </w:rPr>
        <w:t>北京市经济和信息化局</w:t>
      </w:r>
    </w:p>
    <w:p>
      <w:pPr>
        <w:adjustRightInd w:val="0"/>
        <w:snapToGrid w:val="0"/>
        <w:spacing w:line="360" w:lineRule="auto"/>
        <w:jc w:val="center"/>
        <w:rPr>
          <w:rFonts w:ascii="楷体" w:hAnsi="楷体" w:eastAsia="楷体"/>
          <w:b/>
          <w:color w:val="auto"/>
          <w:sz w:val="36"/>
          <w:szCs w:val="36"/>
          <w:highlight w:val="none"/>
          <w:lang w:val="zh-CN"/>
        </w:rPr>
      </w:pPr>
      <w:r>
        <w:rPr>
          <w:rFonts w:hint="eastAsia" w:ascii="楷体" w:hAnsi="楷体" w:eastAsia="楷体"/>
          <w:b/>
          <w:color w:val="auto"/>
          <w:sz w:val="36"/>
          <w:szCs w:val="36"/>
          <w:highlight w:val="none"/>
        </w:rPr>
        <w:t>2023年度无线电管理经费资金</w:t>
      </w:r>
    </w:p>
    <w:p>
      <w:pPr>
        <w:adjustRightInd w:val="0"/>
        <w:snapToGrid w:val="0"/>
        <w:spacing w:line="360" w:lineRule="auto"/>
        <w:jc w:val="center"/>
        <w:rPr>
          <w:rFonts w:ascii="黑体" w:hAnsi="黑体" w:eastAsia="黑体"/>
          <w:b/>
          <w:color w:val="auto"/>
          <w:sz w:val="72"/>
          <w:szCs w:val="72"/>
          <w:highlight w:val="none"/>
          <w:lang w:val="zh-CN"/>
        </w:rPr>
      </w:pPr>
      <w:r>
        <w:rPr>
          <w:rFonts w:hint="eastAsia" w:ascii="黑体" w:hAnsi="黑体" w:eastAsia="黑体"/>
          <w:b/>
          <w:color w:val="auto"/>
          <w:sz w:val="72"/>
          <w:szCs w:val="72"/>
          <w:highlight w:val="none"/>
          <w:lang w:val="zh-CN"/>
        </w:rPr>
        <w:t>绩效评价报告</w:t>
      </w:r>
    </w:p>
    <w:p>
      <w:pPr>
        <w:adjustRightInd w:val="0"/>
        <w:snapToGrid w:val="0"/>
        <w:spacing w:line="360" w:lineRule="auto"/>
        <w:jc w:val="left"/>
        <w:rPr>
          <w:rFonts w:ascii="黑体" w:hAnsi="黑体" w:eastAsia="黑体"/>
          <w:color w:val="auto"/>
          <w:sz w:val="32"/>
          <w:szCs w:val="32"/>
          <w:highlight w:val="none"/>
          <w:lang w:val="zh-CN"/>
        </w:rPr>
      </w:pPr>
      <w:bookmarkStart w:id="210" w:name="_GoBack"/>
      <w:bookmarkEnd w:id="210"/>
    </w:p>
    <w:p>
      <w:pPr>
        <w:adjustRightInd w:val="0"/>
        <w:snapToGrid w:val="0"/>
        <w:spacing w:line="360" w:lineRule="auto"/>
        <w:jc w:val="left"/>
        <w:rPr>
          <w:rFonts w:ascii="黑体" w:hAnsi="黑体" w:eastAsia="黑体"/>
          <w:color w:val="auto"/>
          <w:sz w:val="32"/>
          <w:szCs w:val="32"/>
          <w:highlight w:val="none"/>
          <w:lang w:val="zh-CN"/>
        </w:rPr>
      </w:pPr>
    </w:p>
    <w:p>
      <w:pPr>
        <w:adjustRightInd w:val="0"/>
        <w:snapToGrid w:val="0"/>
        <w:spacing w:line="360" w:lineRule="auto"/>
        <w:jc w:val="left"/>
        <w:rPr>
          <w:rFonts w:ascii="黑体" w:hAnsi="黑体" w:eastAsia="黑体"/>
          <w:color w:val="auto"/>
          <w:sz w:val="32"/>
          <w:szCs w:val="32"/>
          <w:highlight w:val="none"/>
          <w:lang w:val="zh-CN"/>
        </w:rPr>
      </w:pPr>
    </w:p>
    <w:p>
      <w:pPr>
        <w:adjustRightInd w:val="0"/>
        <w:snapToGrid w:val="0"/>
        <w:spacing w:line="360" w:lineRule="auto"/>
        <w:jc w:val="left"/>
        <w:rPr>
          <w:rFonts w:ascii="黑体" w:hAnsi="黑体" w:eastAsia="黑体"/>
          <w:color w:val="auto"/>
          <w:sz w:val="32"/>
          <w:szCs w:val="32"/>
          <w:highlight w:val="none"/>
          <w:lang w:val="zh-CN"/>
        </w:rPr>
      </w:pPr>
    </w:p>
    <w:p>
      <w:pPr>
        <w:adjustRightInd w:val="0"/>
        <w:snapToGrid w:val="0"/>
        <w:spacing w:line="360" w:lineRule="auto"/>
        <w:jc w:val="left"/>
        <w:rPr>
          <w:rFonts w:ascii="黑体" w:hAnsi="黑体" w:eastAsia="黑体"/>
          <w:color w:val="auto"/>
          <w:sz w:val="32"/>
          <w:szCs w:val="32"/>
          <w:highlight w:val="none"/>
          <w:lang w:val="zh-CN"/>
        </w:rPr>
      </w:pPr>
    </w:p>
    <w:p>
      <w:pPr>
        <w:adjustRightInd w:val="0"/>
        <w:snapToGrid w:val="0"/>
        <w:spacing w:line="360" w:lineRule="auto"/>
        <w:jc w:val="left"/>
        <w:rPr>
          <w:rFonts w:ascii="黑体" w:hAnsi="黑体" w:eastAsia="黑体"/>
          <w:color w:val="auto"/>
          <w:sz w:val="32"/>
          <w:szCs w:val="32"/>
          <w:highlight w:val="none"/>
          <w:lang w:val="zh-CN"/>
        </w:rPr>
      </w:pPr>
    </w:p>
    <w:p>
      <w:pPr>
        <w:adjustRightInd w:val="0"/>
        <w:snapToGrid w:val="0"/>
        <w:spacing w:line="360" w:lineRule="auto"/>
        <w:jc w:val="left"/>
        <w:rPr>
          <w:rFonts w:ascii="黑体" w:hAnsi="黑体" w:eastAsia="黑体"/>
          <w:color w:val="auto"/>
          <w:sz w:val="32"/>
          <w:szCs w:val="32"/>
          <w:highlight w:val="none"/>
          <w:lang w:val="zh-CN"/>
        </w:rPr>
      </w:pPr>
    </w:p>
    <w:p>
      <w:pPr>
        <w:adjustRightInd w:val="0"/>
        <w:snapToGrid w:val="0"/>
        <w:spacing w:line="360" w:lineRule="auto"/>
        <w:jc w:val="left"/>
        <w:rPr>
          <w:rFonts w:ascii="黑体" w:hAnsi="黑体" w:eastAsia="黑体"/>
          <w:color w:val="auto"/>
          <w:sz w:val="32"/>
          <w:szCs w:val="32"/>
          <w:highlight w:val="none"/>
          <w:lang w:val="zh-CN"/>
        </w:rPr>
      </w:pPr>
    </w:p>
    <w:p>
      <w:pPr>
        <w:adjustRightInd w:val="0"/>
        <w:snapToGrid w:val="0"/>
        <w:spacing w:line="360" w:lineRule="auto"/>
        <w:jc w:val="center"/>
        <w:rPr>
          <w:rFonts w:ascii="楷体" w:hAnsi="楷体" w:eastAsia="楷体"/>
          <w:b/>
          <w:color w:val="auto"/>
          <w:sz w:val="44"/>
          <w:szCs w:val="44"/>
          <w:highlight w:val="none"/>
          <w:lang w:val="zh-CN"/>
        </w:rPr>
      </w:pPr>
      <w:r>
        <w:rPr>
          <w:rFonts w:hint="eastAsia" w:ascii="楷体" w:hAnsi="楷体" w:eastAsia="楷体"/>
          <w:b/>
          <w:color w:val="auto"/>
          <w:sz w:val="44"/>
          <w:szCs w:val="44"/>
          <w:highlight w:val="none"/>
        </w:rPr>
        <w:t>北京立瑞会计师事务所（普通合伙）</w:t>
      </w:r>
    </w:p>
    <w:p>
      <w:pPr>
        <w:adjustRightInd w:val="0"/>
        <w:snapToGrid w:val="0"/>
        <w:spacing w:line="360" w:lineRule="auto"/>
        <w:jc w:val="center"/>
        <w:rPr>
          <w:rFonts w:ascii="仿宋" w:hAnsi="仿宋" w:eastAsia="仿宋"/>
          <w:b/>
          <w:color w:val="auto"/>
          <w:sz w:val="32"/>
          <w:szCs w:val="32"/>
          <w:highlight w:val="none"/>
          <w:lang w:val="zh-CN"/>
        </w:rPr>
      </w:pPr>
    </w:p>
    <w:p>
      <w:pPr>
        <w:adjustRightInd w:val="0"/>
        <w:snapToGrid w:val="0"/>
        <w:spacing w:line="360" w:lineRule="auto"/>
        <w:jc w:val="center"/>
        <w:rPr>
          <w:rFonts w:ascii="仿宋" w:hAnsi="仿宋" w:eastAsia="仿宋" w:cs="仿宋"/>
          <w:color w:val="auto"/>
          <w:sz w:val="32"/>
          <w:szCs w:val="32"/>
          <w:highlight w:val="none"/>
        </w:rPr>
      </w:pPr>
      <w:r>
        <w:rPr>
          <w:rFonts w:ascii="仿宋" w:hAnsi="仿宋" w:eastAsia="仿宋"/>
          <w:b/>
          <w:color w:val="auto"/>
          <w:sz w:val="32"/>
          <w:szCs w:val="32"/>
          <w:highlight w:val="none"/>
          <w:lang w:val="zh-CN"/>
        </w:rPr>
        <w:t>20</w:t>
      </w:r>
      <w:r>
        <w:rPr>
          <w:rFonts w:hint="eastAsia" w:ascii="仿宋" w:hAnsi="仿宋" w:eastAsia="仿宋"/>
          <w:b/>
          <w:color w:val="auto"/>
          <w:sz w:val="32"/>
          <w:szCs w:val="32"/>
          <w:highlight w:val="none"/>
          <w:lang w:val="zh-CN"/>
        </w:rPr>
        <w:t>2</w:t>
      </w:r>
      <w:r>
        <w:rPr>
          <w:rFonts w:hint="eastAsia" w:ascii="仿宋" w:hAnsi="仿宋" w:eastAsia="仿宋"/>
          <w:b/>
          <w:color w:val="auto"/>
          <w:sz w:val="32"/>
          <w:szCs w:val="32"/>
          <w:highlight w:val="none"/>
          <w:lang w:val="en-US" w:eastAsia="zh-CN"/>
        </w:rPr>
        <w:t>4</w:t>
      </w:r>
      <w:r>
        <w:rPr>
          <w:rFonts w:hint="eastAsia" w:ascii="仿宋" w:hAnsi="仿宋" w:eastAsia="仿宋"/>
          <w:b/>
          <w:color w:val="auto"/>
          <w:sz w:val="32"/>
          <w:szCs w:val="32"/>
          <w:highlight w:val="none"/>
          <w:lang w:val="zh-CN"/>
        </w:rPr>
        <w:t>年</w:t>
      </w:r>
      <w:r>
        <w:rPr>
          <w:rFonts w:hint="eastAsia" w:ascii="仿宋" w:hAnsi="仿宋" w:eastAsia="仿宋"/>
          <w:b/>
          <w:color w:val="auto"/>
          <w:sz w:val="32"/>
          <w:szCs w:val="32"/>
          <w:highlight w:val="none"/>
          <w:lang w:val="en-US" w:eastAsia="zh-CN"/>
        </w:rPr>
        <w:t>5</w:t>
      </w:r>
      <w:r>
        <w:rPr>
          <w:rFonts w:hint="eastAsia" w:ascii="仿宋" w:hAnsi="仿宋" w:eastAsia="仿宋"/>
          <w:b/>
          <w:color w:val="auto"/>
          <w:sz w:val="32"/>
          <w:szCs w:val="32"/>
          <w:highlight w:val="none"/>
          <w:lang w:val="zh-CN"/>
        </w:rPr>
        <w:t>月</w:t>
      </w:r>
    </w:p>
    <w:p>
      <w:pPr>
        <w:widowControl/>
        <w:jc w:val="left"/>
        <w:rPr>
          <w:color w:val="auto"/>
          <w:highlight w:val="none"/>
        </w:rPr>
      </w:pPr>
      <w:r>
        <w:rPr>
          <w:color w:val="auto"/>
          <w:highlight w:val="none"/>
        </w:rPr>
        <w:br w:type="page"/>
      </w:r>
    </w:p>
    <w:p>
      <w:pPr>
        <w:pStyle w:val="11"/>
        <w:tabs>
          <w:tab w:val="right" w:leader="dot" w:pos="8844"/>
        </w:tabs>
        <w:adjustRightInd w:val="0"/>
        <w:snapToGrid w:val="0"/>
        <w:spacing w:before="0" w:after="0" w:line="360" w:lineRule="auto"/>
        <w:rPr>
          <w:rFonts w:ascii="仿宋_GB2312"/>
          <w:color w:val="auto"/>
          <w:highlight w:val="none"/>
        </w:rPr>
      </w:pPr>
    </w:p>
    <w:sdt>
      <w:sdtPr>
        <w:rPr>
          <w:rFonts w:hint="eastAsia" w:ascii="黑体" w:hAnsi="华文中宋" w:eastAsia="黑体" w:cs="Times New Roman"/>
          <w:bCs/>
          <w:color w:val="auto"/>
          <w:kern w:val="2"/>
          <w:sz w:val="32"/>
          <w:szCs w:val="32"/>
          <w:highlight w:val="none"/>
          <w:lang w:val="en-US" w:eastAsia="zh-CN" w:bidi="ar-SA"/>
        </w:rPr>
        <w:id w:val="147452314"/>
        <w15:color w:val="DBDBDB"/>
        <w:docPartObj>
          <w:docPartGallery w:val="Table of Contents"/>
          <w:docPartUnique/>
        </w:docPartObj>
      </w:sdtPr>
      <w:sdtEndPr>
        <w:rPr>
          <w:rFonts w:hint="eastAsia" w:ascii="仿宋_GB2312" w:hAnsi="Times New Roman" w:eastAsia="仿宋_GB2312" w:cs="Times New Roman"/>
          <w:bCs/>
          <w:color w:val="auto"/>
          <w:kern w:val="2"/>
          <w:sz w:val="30"/>
          <w:szCs w:val="24"/>
          <w:highlight w:val="none"/>
          <w:lang w:val="en-US" w:eastAsia="zh-CN" w:bidi="ar-SA"/>
        </w:rPr>
      </w:sdtEndPr>
      <w:sdtContent>
        <w:p>
          <w:pPr>
            <w:adjustRightInd w:val="0"/>
            <w:snapToGrid w:val="0"/>
            <w:spacing w:before="0" w:beforeLines="-2147483648" w:after="0" w:afterLines="-2147483648" w:line="360" w:lineRule="auto"/>
            <w:ind w:left="0" w:leftChars="0" w:right="0" w:rightChars="0" w:firstLine="0" w:firstLineChars="0"/>
            <w:jc w:val="center"/>
            <w:rPr>
              <w:rFonts w:hint="eastAsia" w:ascii="黑体" w:hAnsi="华文中宋" w:eastAsia="黑体"/>
              <w:bCs/>
              <w:color w:val="auto"/>
              <w:sz w:val="32"/>
              <w:szCs w:val="32"/>
              <w:highlight w:val="none"/>
            </w:rPr>
          </w:pPr>
          <w:r>
            <w:rPr>
              <w:rFonts w:hint="eastAsia" w:ascii="黑体" w:hAnsi="华文中宋" w:eastAsia="黑体"/>
              <w:bCs/>
              <w:color w:val="auto"/>
              <w:sz w:val="32"/>
              <w:szCs w:val="32"/>
              <w:highlight w:val="none"/>
            </w:rPr>
            <w:t>目</w:t>
          </w:r>
          <w:r>
            <w:rPr>
              <w:rFonts w:hint="eastAsia" w:ascii="黑体" w:hAnsi="华文中宋" w:eastAsia="黑体"/>
              <w:bCs/>
              <w:color w:val="auto"/>
              <w:sz w:val="32"/>
              <w:szCs w:val="32"/>
              <w:highlight w:val="none"/>
              <w:lang w:val="en-US" w:eastAsia="zh-CN"/>
            </w:rPr>
            <w:t xml:space="preserve"> </w:t>
          </w:r>
          <w:r>
            <w:rPr>
              <w:rFonts w:hint="eastAsia" w:ascii="黑体" w:hAnsi="华文中宋" w:eastAsia="黑体"/>
              <w:bCs/>
              <w:color w:val="auto"/>
              <w:sz w:val="32"/>
              <w:szCs w:val="32"/>
              <w:highlight w:val="none"/>
            </w:rPr>
            <w:t>录</w:t>
          </w:r>
        </w:p>
        <w:p>
          <w:pPr>
            <w:pStyle w:val="11"/>
            <w:tabs>
              <w:tab w:val="right" w:leader="dot" w:pos="8844"/>
            </w:tabs>
            <w:adjustRightInd w:val="0"/>
            <w:snapToGrid w:val="0"/>
            <w:spacing w:before="0" w:after="0" w:line="360" w:lineRule="auto"/>
            <w:rPr>
              <w:rFonts w:hint="eastAsia" w:ascii="仿宋_GB2312" w:hAnsi="仿宋_GB2312" w:cs="仿宋_GB2312"/>
              <w:b w:val="0"/>
              <w:bCs w:val="0"/>
              <w:sz w:val="32"/>
              <w:szCs w:val="32"/>
              <w:highlight w:val="none"/>
            </w:rPr>
          </w:pPr>
          <w:r>
            <w:rPr>
              <w:rFonts w:hint="eastAsia" w:ascii="仿宋_GB2312" w:hAnsi="仿宋_GB2312" w:cs="仿宋_GB2312"/>
              <w:color w:val="auto"/>
              <w:sz w:val="32"/>
              <w:szCs w:val="32"/>
              <w:highlight w:val="none"/>
            </w:rPr>
            <w:fldChar w:fldCharType="begin"/>
          </w:r>
          <w:r>
            <w:rPr>
              <w:rFonts w:hint="eastAsia" w:ascii="仿宋_GB2312" w:hAnsi="仿宋_GB2312" w:cs="仿宋_GB2312"/>
              <w:color w:val="auto"/>
              <w:sz w:val="32"/>
              <w:szCs w:val="32"/>
              <w:highlight w:val="none"/>
            </w:rPr>
            <w:instrText xml:space="preserve">TOC \o "1-3" \h \u </w:instrText>
          </w:r>
          <w:r>
            <w:rPr>
              <w:rFonts w:hint="eastAsia" w:ascii="仿宋_GB2312" w:hAnsi="仿宋_GB2312" w:cs="仿宋_GB2312"/>
              <w:color w:val="auto"/>
              <w:sz w:val="32"/>
              <w:szCs w:val="32"/>
              <w:highlight w:val="none"/>
            </w:rPr>
            <w:fldChar w:fldCharType="separate"/>
          </w: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_Toc29854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一、基本情况</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_Toc29854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_Toc7760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（一）项目单位基本情况</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_Toc7760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_Toc20516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（二）项目概况</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_Toc20516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2</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_Toc4822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（三）项目绩效目标、绩效指标设定情况</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_Toc4822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8</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1"/>
            <w:tabs>
              <w:tab w:val="right" w:leader="dot" w:pos="8844"/>
            </w:tabs>
            <w:adjustRightInd w:val="0"/>
            <w:snapToGrid w:val="0"/>
            <w:spacing w:before="0" w:after="0" w:line="360" w:lineRule="auto"/>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_Toc11754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kern w:val="2"/>
              <w:sz w:val="32"/>
              <w:szCs w:val="32"/>
              <w:highlight w:val="none"/>
            </w:rPr>
            <w:t>二、绩效评价工作情况</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_Toc11754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11</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_Toc15864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（一）绩效评价目的</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_Toc15864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11</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_Toc9308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（二）绩效评价原则和方法、评价指标体系</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_Toc9308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11</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_Toc11670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（三）绩效评价工作过程</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_Toc11670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13</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1"/>
            <w:tabs>
              <w:tab w:val="right" w:leader="dot" w:pos="8844"/>
            </w:tabs>
            <w:adjustRightInd w:val="0"/>
            <w:snapToGrid w:val="0"/>
            <w:spacing w:before="0" w:after="0" w:line="360" w:lineRule="auto"/>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_Toc24850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三、综合评价情况及评价结论</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_Toc24850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15</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1"/>
            <w:tabs>
              <w:tab w:val="right" w:leader="dot" w:pos="8844"/>
            </w:tabs>
            <w:adjustRightInd w:val="0"/>
            <w:snapToGrid w:val="0"/>
            <w:spacing w:before="0" w:after="0" w:line="360" w:lineRule="auto"/>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_Toc32392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kern w:val="2"/>
              <w:sz w:val="32"/>
              <w:szCs w:val="32"/>
              <w:highlight w:val="none"/>
            </w:rPr>
            <w:t>四、绩效评价指标分析情况</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_Toc32392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16</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_Toc7107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（一）决策情况分析</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_Toc7107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16</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_Toc19186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（二）过程情况分析</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_Toc19186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19</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_Toc22241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（三）产出情况分析</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_Toc22241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23</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_Toc18622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（四）效益情况分析</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_Toc18622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32</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1"/>
            <w:tabs>
              <w:tab w:val="right" w:leader="dot" w:pos="8844"/>
            </w:tabs>
            <w:adjustRightInd w:val="0"/>
            <w:snapToGrid w:val="0"/>
            <w:spacing w:before="0" w:after="0" w:line="360" w:lineRule="auto"/>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_Toc28488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五、主要经验做法</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_Toc28488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38</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_Toc3012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lang w:eastAsia="zh-CN"/>
            </w:rPr>
            <w:t>（</w:t>
          </w:r>
          <w:r>
            <w:rPr>
              <w:rFonts w:hint="eastAsia" w:ascii="仿宋_GB2312" w:hAnsi="仿宋_GB2312" w:eastAsia="仿宋_GB2312" w:cs="仿宋_GB2312"/>
              <w:b w:val="0"/>
              <w:bCs w:val="0"/>
              <w:sz w:val="32"/>
              <w:szCs w:val="32"/>
              <w:highlight w:val="none"/>
              <w:lang w:val="en-US" w:eastAsia="zh-CN"/>
            </w:rPr>
            <w:t>一</w:t>
          </w:r>
          <w:r>
            <w:rPr>
              <w:rFonts w:hint="eastAsia" w:ascii="仿宋_GB2312" w:hAnsi="仿宋_GB2312" w:eastAsia="仿宋_GB2312" w:cs="仿宋_GB2312"/>
              <w:b w:val="0"/>
              <w:bCs w:val="0"/>
              <w:sz w:val="32"/>
              <w:szCs w:val="32"/>
              <w:highlight w:val="none"/>
              <w:lang w:eastAsia="zh-CN"/>
            </w:rPr>
            <w:t>）</w:t>
          </w:r>
          <w:r>
            <w:rPr>
              <w:rFonts w:hint="eastAsia" w:ascii="仿宋_GB2312" w:hAnsi="仿宋_GB2312" w:eastAsia="仿宋_GB2312" w:cs="仿宋_GB2312"/>
              <w:b w:val="0"/>
              <w:bCs w:val="0"/>
              <w:sz w:val="32"/>
              <w:szCs w:val="32"/>
              <w:highlight w:val="none"/>
              <w:lang w:val="en-US" w:eastAsia="zh-CN"/>
            </w:rPr>
            <w:t>多措并举，护航全国“两会”顺利召开</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_Toc3012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38</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_Toc26885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lang w:val="en-US" w:eastAsia="zh-CN"/>
            </w:rPr>
            <w:t>（二）理论与实践并重，助力无线电事业发展</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_Toc26885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39</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_Toc15060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lang w:val="en-US" w:eastAsia="zh-CN"/>
            </w:rPr>
            <w:t>（三）加强</w:t>
          </w:r>
          <w:r>
            <w:rPr>
              <w:rFonts w:hint="eastAsia" w:ascii="仿宋_GB2312" w:hAnsi="仿宋_GB2312" w:eastAsia="仿宋_GB2312" w:cs="仿宋_GB2312"/>
              <w:b w:val="0"/>
              <w:bCs w:val="0"/>
              <w:sz w:val="32"/>
              <w:szCs w:val="32"/>
              <w:highlight w:val="none"/>
            </w:rPr>
            <w:t>频率台站管理，服务经济社会发展</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_Toc15060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40</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_Toc17312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lang w:val="en-US" w:eastAsia="zh-CN"/>
            </w:rPr>
            <w:t>（四）修订完善法律法规，推动无线电管理法治建设</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_Toc17312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40</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1"/>
            <w:tabs>
              <w:tab w:val="right" w:leader="dot" w:pos="8844"/>
            </w:tabs>
            <w:adjustRightInd w:val="0"/>
            <w:snapToGrid w:val="0"/>
            <w:spacing w:before="0" w:after="0" w:line="360" w:lineRule="auto"/>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_Toc15806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六、存在问题和原因分析</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_Toc15806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41</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_Toc9296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（一）</w:t>
          </w:r>
          <w:r>
            <w:rPr>
              <w:rFonts w:hint="eastAsia" w:ascii="仿宋_GB2312" w:hAnsi="仿宋_GB2312" w:eastAsia="仿宋_GB2312" w:cs="仿宋_GB2312"/>
              <w:b w:val="0"/>
              <w:bCs w:val="0"/>
              <w:sz w:val="32"/>
              <w:szCs w:val="32"/>
              <w:highlight w:val="none"/>
              <w:lang w:val="en-US" w:eastAsia="zh-CN"/>
            </w:rPr>
            <w:t>区域绩效目标编制还不够规范</w:t>
          </w:r>
          <w:r>
            <w:rPr>
              <w:rFonts w:hint="eastAsia" w:ascii="仿宋_GB2312" w:hAnsi="仿宋_GB2312" w:eastAsia="仿宋_GB2312" w:cs="仿宋_GB2312"/>
              <w:b w:val="0"/>
              <w:bCs w:val="0"/>
              <w:sz w:val="32"/>
              <w:szCs w:val="32"/>
              <w:highlight w:val="none"/>
              <w:lang w:eastAsia="zh-CN"/>
            </w:rPr>
            <w:t>，</w:t>
          </w:r>
          <w:r>
            <w:rPr>
              <w:rFonts w:hint="eastAsia" w:ascii="仿宋_GB2312" w:hAnsi="仿宋_GB2312" w:eastAsia="仿宋_GB2312" w:cs="仿宋_GB2312"/>
              <w:b w:val="0"/>
              <w:bCs w:val="0"/>
              <w:sz w:val="32"/>
              <w:szCs w:val="32"/>
              <w:highlight w:val="none"/>
              <w:lang w:val="en-US" w:eastAsia="zh-CN"/>
            </w:rPr>
            <w:t>绩效指标设置还需提炼</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_Toc9296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41</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_Toc31371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二</w:t>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个别项目预算编制不够细化，影响资金分配合理性</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_Toc31371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41</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_Toc32760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三</w:t>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预算执行率偏低，过程管理有待加强</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_Toc32760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42</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1"/>
            <w:tabs>
              <w:tab w:val="right" w:leader="dot" w:pos="8844"/>
            </w:tabs>
            <w:adjustRightInd w:val="0"/>
            <w:snapToGrid w:val="0"/>
            <w:spacing w:before="0" w:after="0" w:line="360" w:lineRule="auto"/>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_Toc9608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七、有关建议</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_Toc9608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43</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_Toc26820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（一）</w:t>
          </w:r>
          <w:r>
            <w:rPr>
              <w:rFonts w:hint="eastAsia" w:ascii="仿宋_GB2312" w:hAnsi="仿宋_GB2312" w:eastAsia="仿宋_GB2312" w:cs="仿宋_GB2312"/>
              <w:b w:val="0"/>
              <w:bCs w:val="0"/>
              <w:sz w:val="32"/>
              <w:szCs w:val="32"/>
              <w:highlight w:val="none"/>
              <w:lang w:val="en-US" w:eastAsia="zh-CN"/>
            </w:rPr>
            <w:t>规范</w:t>
          </w:r>
          <w:r>
            <w:rPr>
              <w:rFonts w:hint="eastAsia" w:ascii="仿宋_GB2312" w:hAnsi="仿宋_GB2312" w:eastAsia="仿宋_GB2312" w:cs="仿宋_GB2312"/>
              <w:b w:val="0"/>
              <w:bCs w:val="0"/>
              <w:sz w:val="32"/>
              <w:szCs w:val="32"/>
              <w:highlight w:val="none"/>
            </w:rPr>
            <w:t>区域绩效目标</w:t>
          </w:r>
          <w:r>
            <w:rPr>
              <w:rFonts w:hint="eastAsia" w:ascii="仿宋_GB2312" w:hAnsi="仿宋_GB2312" w:eastAsia="仿宋_GB2312" w:cs="仿宋_GB2312"/>
              <w:b w:val="0"/>
              <w:bCs w:val="0"/>
              <w:sz w:val="32"/>
              <w:szCs w:val="32"/>
              <w:highlight w:val="none"/>
              <w:lang w:val="en-US" w:eastAsia="zh-CN"/>
            </w:rPr>
            <w:t>编制</w:t>
          </w:r>
          <w:r>
            <w:rPr>
              <w:rFonts w:hint="eastAsia" w:ascii="仿宋_GB2312" w:hAnsi="仿宋_GB2312" w:eastAsia="仿宋_GB2312" w:cs="仿宋_GB2312"/>
              <w:b w:val="0"/>
              <w:bCs w:val="0"/>
              <w:sz w:val="32"/>
              <w:szCs w:val="32"/>
              <w:highlight w:val="none"/>
              <w:lang w:eastAsia="zh-CN"/>
            </w:rPr>
            <w:t>，</w:t>
          </w:r>
          <w:r>
            <w:rPr>
              <w:rFonts w:hint="eastAsia" w:ascii="仿宋_GB2312" w:hAnsi="仿宋_GB2312" w:eastAsia="仿宋_GB2312" w:cs="仿宋_GB2312"/>
              <w:b w:val="0"/>
              <w:bCs w:val="0"/>
              <w:sz w:val="32"/>
              <w:szCs w:val="32"/>
              <w:highlight w:val="none"/>
              <w:lang w:val="en-US" w:eastAsia="zh-CN"/>
            </w:rPr>
            <w:t>提炼绩效指标设置</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_Toc26820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43</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_Toc17146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二</w:t>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细化编制项目预算，提高资金分配合理性</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_Toc17146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43</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3"/>
            <w:tabs>
              <w:tab w:val="right" w:leader="dot" w:pos="8844"/>
            </w:tabs>
            <w:adjustRightInd w:val="0"/>
            <w:snapToGrid w:val="0"/>
            <w:spacing w:line="360" w:lineRule="auto"/>
            <w:ind w:left="0"/>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_Toc18823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三</w:t>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加快资金执行进度</w:t>
          </w:r>
          <w:r>
            <w:rPr>
              <w:rFonts w:hint="eastAsia" w:ascii="仿宋_GB2312" w:hAnsi="仿宋_GB2312" w:eastAsia="仿宋_GB2312" w:cs="仿宋_GB2312"/>
              <w:b w:val="0"/>
              <w:bCs w:val="0"/>
              <w:sz w:val="32"/>
              <w:szCs w:val="32"/>
              <w:highlight w:val="none"/>
            </w:rPr>
            <w:t>，</w:t>
          </w:r>
          <w:r>
            <w:rPr>
              <w:rFonts w:hint="eastAsia" w:ascii="仿宋_GB2312" w:hAnsi="仿宋_GB2312" w:eastAsia="仿宋_GB2312" w:cs="仿宋_GB2312"/>
              <w:b w:val="0"/>
              <w:bCs w:val="0"/>
              <w:sz w:val="32"/>
              <w:szCs w:val="32"/>
              <w:highlight w:val="none"/>
              <w:lang w:val="en-US" w:eastAsia="zh-CN"/>
            </w:rPr>
            <w:t>规范项目过程管理</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_Toc18823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44</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1"/>
            <w:tabs>
              <w:tab w:val="right" w:leader="dot" w:pos="8844"/>
            </w:tabs>
            <w:adjustRightInd w:val="0"/>
            <w:snapToGrid w:val="0"/>
            <w:spacing w:before="0" w:after="0" w:line="360" w:lineRule="auto"/>
            <w:rPr>
              <w:rFonts w:hint="eastAsia" w:ascii="仿宋_GB2312" w:hAnsi="仿宋_GB2312" w:cs="仿宋_GB2312"/>
              <w:b w:val="0"/>
              <w:bCs w:val="0"/>
              <w:sz w:val="32"/>
              <w:szCs w:val="32"/>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_Toc13191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八、其他需要说明的问题</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_Toc13191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44</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pStyle w:val="11"/>
            <w:tabs>
              <w:tab w:val="right" w:leader="dot" w:pos="8844"/>
            </w:tabs>
            <w:adjustRightInd w:val="0"/>
            <w:snapToGrid w:val="0"/>
            <w:spacing w:before="0" w:after="0" w:line="360" w:lineRule="auto"/>
            <w:rPr>
              <w:highlight w:val="none"/>
            </w:rPr>
          </w:pPr>
          <w:r>
            <w:rPr>
              <w:rFonts w:hint="eastAsia" w:ascii="仿宋_GB2312" w:hAnsi="仿宋_GB2312" w:cs="仿宋_GB2312"/>
              <w:b w:val="0"/>
              <w:bCs w:val="0"/>
              <w:color w:val="auto"/>
              <w:sz w:val="32"/>
              <w:szCs w:val="32"/>
              <w:highlight w:val="none"/>
            </w:rPr>
            <w:fldChar w:fldCharType="begin"/>
          </w:r>
          <w:r>
            <w:rPr>
              <w:rFonts w:hint="eastAsia" w:ascii="仿宋_GB2312" w:hAnsi="仿宋_GB2312" w:cs="仿宋_GB2312"/>
              <w:b w:val="0"/>
              <w:bCs w:val="0"/>
              <w:sz w:val="32"/>
              <w:szCs w:val="32"/>
              <w:highlight w:val="none"/>
            </w:rPr>
            <w:instrText xml:space="preserve"> HYPERLINK \l _Toc1281 </w:instrText>
          </w:r>
          <w:r>
            <w:rPr>
              <w:rFonts w:hint="eastAsia" w:ascii="仿宋_GB2312" w:hAnsi="仿宋_GB2312" w:cs="仿宋_GB2312"/>
              <w:b w:val="0"/>
              <w:bCs w:val="0"/>
              <w:sz w:val="32"/>
              <w:szCs w:val="32"/>
              <w:highlight w:val="none"/>
            </w:rPr>
            <w:fldChar w:fldCharType="separate"/>
          </w:r>
          <w:r>
            <w:rPr>
              <w:rFonts w:hint="eastAsia" w:ascii="仿宋_GB2312" w:hAnsi="仿宋_GB2312" w:eastAsia="仿宋_GB2312" w:cs="仿宋_GB2312"/>
              <w:b w:val="0"/>
              <w:bCs w:val="0"/>
              <w:sz w:val="32"/>
              <w:szCs w:val="32"/>
              <w:highlight w:val="none"/>
            </w:rPr>
            <w:t>九、附件</w:t>
          </w:r>
          <w:r>
            <w:rPr>
              <w:rFonts w:hint="eastAsia" w:ascii="仿宋_GB2312" w:hAnsi="仿宋_GB2312" w:cs="仿宋_GB2312"/>
              <w:b w:val="0"/>
              <w:bCs w:val="0"/>
              <w:sz w:val="32"/>
              <w:szCs w:val="32"/>
              <w:highlight w:val="none"/>
            </w:rPr>
            <w:tab/>
          </w:r>
          <w:r>
            <w:rPr>
              <w:rFonts w:hint="eastAsia" w:ascii="仿宋_GB2312" w:hAnsi="仿宋_GB2312" w:cs="仿宋_GB2312"/>
              <w:b w:val="0"/>
              <w:bCs w:val="0"/>
              <w:sz w:val="32"/>
              <w:szCs w:val="32"/>
              <w:highlight w:val="none"/>
            </w:rPr>
            <w:fldChar w:fldCharType="begin"/>
          </w:r>
          <w:r>
            <w:rPr>
              <w:rFonts w:hint="eastAsia" w:ascii="仿宋_GB2312" w:hAnsi="仿宋_GB2312" w:cs="仿宋_GB2312"/>
              <w:b w:val="0"/>
              <w:bCs w:val="0"/>
              <w:sz w:val="32"/>
              <w:szCs w:val="32"/>
              <w:highlight w:val="none"/>
            </w:rPr>
            <w:instrText xml:space="preserve"> PAGEREF _Toc1281 \h </w:instrText>
          </w:r>
          <w:r>
            <w:rPr>
              <w:rFonts w:hint="eastAsia" w:ascii="仿宋_GB2312" w:hAnsi="仿宋_GB2312" w:cs="仿宋_GB2312"/>
              <w:b w:val="0"/>
              <w:bCs w:val="0"/>
              <w:sz w:val="32"/>
              <w:szCs w:val="32"/>
              <w:highlight w:val="none"/>
            </w:rPr>
            <w:fldChar w:fldCharType="separate"/>
          </w:r>
          <w:r>
            <w:rPr>
              <w:rFonts w:hint="eastAsia" w:ascii="仿宋_GB2312" w:hAnsi="仿宋_GB2312" w:cs="仿宋_GB2312"/>
              <w:b w:val="0"/>
              <w:bCs w:val="0"/>
              <w:sz w:val="32"/>
              <w:szCs w:val="32"/>
              <w:highlight w:val="none"/>
            </w:rPr>
            <w:t>44</w:t>
          </w:r>
          <w:r>
            <w:rPr>
              <w:rFonts w:hint="eastAsia" w:ascii="仿宋_GB2312" w:hAnsi="仿宋_GB2312" w:cs="仿宋_GB2312"/>
              <w:b w:val="0"/>
              <w:bCs w:val="0"/>
              <w:sz w:val="32"/>
              <w:szCs w:val="32"/>
              <w:highlight w:val="none"/>
            </w:rPr>
            <w:fldChar w:fldCharType="end"/>
          </w:r>
          <w:r>
            <w:rPr>
              <w:rFonts w:hint="eastAsia" w:ascii="仿宋_GB2312" w:hAnsi="仿宋_GB2312" w:cs="仿宋_GB2312"/>
              <w:b w:val="0"/>
              <w:bCs w:val="0"/>
              <w:color w:val="auto"/>
              <w:sz w:val="32"/>
              <w:szCs w:val="32"/>
              <w:highlight w:val="none"/>
            </w:rPr>
            <w:fldChar w:fldCharType="end"/>
          </w:r>
        </w:p>
        <w:p>
          <w:pPr>
            <w:spacing w:line="360" w:lineRule="auto"/>
            <w:rPr>
              <w:rFonts w:hint="eastAsia" w:ascii="仿宋_GB2312"/>
              <w:color w:val="auto"/>
              <w:highlight w:val="none"/>
            </w:rPr>
            <w:sectPr>
              <w:footerReference r:id="rId4" w:type="default"/>
              <w:pgSz w:w="11906" w:h="16838"/>
              <w:pgMar w:top="2098" w:right="1531" w:bottom="1984" w:left="1531" w:header="851" w:footer="992" w:gutter="0"/>
              <w:pgNumType w:start="1"/>
              <w:cols w:space="425" w:num="1"/>
              <w:docGrid w:type="lines" w:linePitch="312" w:charSpace="0"/>
            </w:sectPr>
          </w:pPr>
          <w:r>
            <w:rPr>
              <w:rFonts w:hint="eastAsia" w:ascii="仿宋_GB2312" w:hAnsi="仿宋_GB2312" w:cs="仿宋_GB2312"/>
              <w:color w:val="auto"/>
              <w:sz w:val="32"/>
              <w:szCs w:val="32"/>
              <w:highlight w:val="none"/>
            </w:rPr>
            <w:fldChar w:fldCharType="end"/>
          </w:r>
        </w:p>
      </w:sdtContent>
    </w:sdt>
    <w:p>
      <w:pPr>
        <w:pStyle w:val="11"/>
        <w:tabs>
          <w:tab w:val="right" w:leader="dot" w:pos="8844"/>
        </w:tabs>
        <w:adjustRightInd w:val="0"/>
        <w:snapToGrid w:val="0"/>
        <w:spacing w:before="0" w:after="0" w:line="360" w:lineRule="auto"/>
        <w:jc w:val="center"/>
        <w:rPr>
          <w:b w:val="0"/>
          <w:bCs w:val="0"/>
          <w:color w:val="auto"/>
          <w:sz w:val="36"/>
          <w:szCs w:val="36"/>
          <w:highlight w:val="none"/>
        </w:rPr>
      </w:pPr>
      <w:r>
        <w:rPr>
          <w:rFonts w:hint="eastAsia" w:ascii="华文中宋" w:hAnsi="华文中宋" w:eastAsia="华文中宋"/>
          <w:b w:val="0"/>
          <w:bCs w:val="0"/>
          <w:color w:val="auto"/>
          <w:sz w:val="36"/>
          <w:szCs w:val="36"/>
          <w:highlight w:val="none"/>
        </w:rPr>
        <w:t>202</w:t>
      </w:r>
      <w:r>
        <w:rPr>
          <w:rFonts w:hint="eastAsia" w:ascii="华文中宋" w:hAnsi="华文中宋" w:eastAsia="华文中宋"/>
          <w:b w:val="0"/>
          <w:bCs w:val="0"/>
          <w:color w:val="auto"/>
          <w:sz w:val="36"/>
          <w:szCs w:val="36"/>
          <w:highlight w:val="none"/>
          <w:lang w:val="en-US" w:eastAsia="zh-CN"/>
        </w:rPr>
        <w:t>3</w:t>
      </w:r>
      <w:r>
        <w:rPr>
          <w:rFonts w:hint="eastAsia" w:ascii="华文中宋" w:hAnsi="华文中宋" w:eastAsia="华文中宋"/>
          <w:b w:val="0"/>
          <w:bCs w:val="0"/>
          <w:color w:val="auto"/>
          <w:sz w:val="36"/>
          <w:szCs w:val="36"/>
          <w:highlight w:val="none"/>
        </w:rPr>
        <w:t>年度北京市</w:t>
      </w:r>
      <w:r>
        <w:rPr>
          <w:rFonts w:ascii="华文中宋" w:hAnsi="华文中宋" w:eastAsia="华文中宋"/>
          <w:b w:val="0"/>
          <w:bCs w:val="0"/>
          <w:color w:val="auto"/>
          <w:sz w:val="36"/>
          <w:szCs w:val="36"/>
          <w:highlight w:val="none"/>
        </w:rPr>
        <w:t>经济和信息化局</w:t>
      </w:r>
      <w:r>
        <w:rPr>
          <w:rFonts w:hint="eastAsia" w:ascii="华文中宋" w:hAnsi="华文中宋" w:eastAsia="华文中宋"/>
          <w:b w:val="0"/>
          <w:bCs w:val="0"/>
          <w:color w:val="auto"/>
          <w:sz w:val="36"/>
          <w:szCs w:val="36"/>
          <w:highlight w:val="none"/>
          <w:lang w:eastAsia="zh-CN"/>
        </w:rPr>
        <w:t>无线电</w:t>
      </w:r>
      <w:r>
        <w:rPr>
          <w:rFonts w:hint="eastAsia" w:ascii="华文中宋" w:hAnsi="华文中宋" w:eastAsia="华文中宋"/>
          <w:b w:val="0"/>
          <w:bCs w:val="0"/>
          <w:color w:val="auto"/>
          <w:sz w:val="36"/>
          <w:szCs w:val="36"/>
          <w:highlight w:val="none"/>
          <w:lang w:val="en-US" w:eastAsia="zh-CN"/>
        </w:rPr>
        <w:t>管理经费</w:t>
      </w:r>
      <w:r>
        <w:rPr>
          <w:rFonts w:hint="eastAsia" w:ascii="华文中宋" w:hAnsi="华文中宋" w:eastAsia="华文中宋"/>
          <w:b w:val="0"/>
          <w:bCs w:val="0"/>
          <w:color w:val="auto"/>
          <w:sz w:val="36"/>
          <w:szCs w:val="36"/>
          <w:highlight w:val="none"/>
        </w:rPr>
        <w:t>资金绩效评价报告</w:t>
      </w:r>
    </w:p>
    <w:p>
      <w:pPr>
        <w:adjustRightInd w:val="0"/>
        <w:snapToGrid w:val="0"/>
        <w:spacing w:line="360" w:lineRule="auto"/>
        <w:ind w:firstLine="600" w:firstLineChars="200"/>
        <w:jc w:val="center"/>
        <w:rPr>
          <w:rFonts w:ascii="仿宋_GB2312"/>
          <w:color w:val="auto"/>
          <w:szCs w:val="32"/>
          <w:highlight w:val="none"/>
        </w:rPr>
      </w:pPr>
    </w:p>
    <w:p>
      <w:pPr>
        <w:adjustRightInd w:val="0"/>
        <w:snapToGrid w:val="0"/>
        <w:spacing w:line="360" w:lineRule="auto"/>
        <w:ind w:firstLine="640" w:firstLineChars="200"/>
        <w:outlineLvl w:val="0"/>
        <w:rPr>
          <w:rFonts w:ascii="黑体" w:eastAsia="黑体"/>
          <w:color w:val="auto"/>
          <w:sz w:val="32"/>
          <w:szCs w:val="32"/>
          <w:highlight w:val="none"/>
        </w:rPr>
      </w:pPr>
      <w:bookmarkStart w:id="0" w:name="_Toc55475182"/>
      <w:bookmarkStart w:id="1" w:name="_Toc336506889"/>
      <w:bookmarkStart w:id="2" w:name="_Toc336506954"/>
      <w:bookmarkStart w:id="3" w:name="_Toc29873"/>
      <w:bookmarkStart w:id="4" w:name="_Toc16048"/>
      <w:bookmarkStart w:id="5" w:name="_Toc2923"/>
      <w:bookmarkStart w:id="6" w:name="_Toc29854"/>
      <w:r>
        <w:rPr>
          <w:rFonts w:hint="eastAsia" w:ascii="黑体" w:eastAsia="黑体"/>
          <w:color w:val="auto"/>
          <w:sz w:val="32"/>
          <w:szCs w:val="32"/>
          <w:highlight w:val="none"/>
        </w:rPr>
        <w:t>一、</w:t>
      </w:r>
      <w:bookmarkEnd w:id="0"/>
      <w:bookmarkEnd w:id="1"/>
      <w:bookmarkEnd w:id="2"/>
      <w:r>
        <w:rPr>
          <w:rFonts w:hint="eastAsia" w:ascii="黑体" w:eastAsia="黑体"/>
          <w:color w:val="auto"/>
          <w:sz w:val="32"/>
          <w:szCs w:val="32"/>
          <w:highlight w:val="none"/>
        </w:rPr>
        <w:t>基本情况</w:t>
      </w:r>
      <w:bookmarkEnd w:id="3"/>
      <w:bookmarkEnd w:id="4"/>
      <w:bookmarkEnd w:id="5"/>
      <w:bookmarkEnd w:id="6"/>
    </w:p>
    <w:p>
      <w:pPr>
        <w:pStyle w:val="3"/>
        <w:keepNext w:val="0"/>
        <w:keepLines w:val="0"/>
        <w:adjustRightInd w:val="0"/>
        <w:snapToGrid w:val="0"/>
        <w:spacing w:before="0" w:after="0" w:line="360" w:lineRule="auto"/>
        <w:ind w:firstLine="640" w:firstLineChars="200"/>
        <w:rPr>
          <w:rFonts w:ascii="楷体_GB2312" w:hAnsi="等线" w:eastAsia="楷体_GB2312" w:cs="Times New Roman"/>
          <w:b w:val="0"/>
          <w:bCs w:val="0"/>
          <w:color w:val="auto"/>
          <w:highlight w:val="none"/>
        </w:rPr>
      </w:pPr>
      <w:bookmarkStart w:id="7" w:name="_Toc336506890"/>
      <w:bookmarkStart w:id="8" w:name="_Toc336506955"/>
      <w:bookmarkStart w:id="9" w:name="_Toc320182850"/>
      <w:bookmarkStart w:id="10" w:name="_Toc29814"/>
      <w:bookmarkStart w:id="11" w:name="_Toc55475183"/>
      <w:bookmarkStart w:id="12" w:name="_Toc9953"/>
      <w:bookmarkStart w:id="13" w:name="_Toc7760"/>
      <w:bookmarkStart w:id="14" w:name="_Toc82"/>
      <w:r>
        <w:rPr>
          <w:rFonts w:hint="eastAsia" w:ascii="楷体_GB2312" w:hAnsi="等线" w:eastAsia="楷体_GB2312" w:cs="Times New Roman"/>
          <w:b w:val="0"/>
          <w:bCs w:val="0"/>
          <w:color w:val="auto"/>
          <w:highlight w:val="none"/>
        </w:rPr>
        <w:t>（一）</w:t>
      </w:r>
      <w:bookmarkEnd w:id="7"/>
      <w:bookmarkEnd w:id="8"/>
      <w:bookmarkEnd w:id="9"/>
      <w:r>
        <w:rPr>
          <w:rFonts w:hint="eastAsia" w:ascii="楷体_GB2312" w:hAnsi="等线" w:eastAsia="楷体_GB2312" w:cs="Times New Roman"/>
          <w:b w:val="0"/>
          <w:bCs w:val="0"/>
          <w:color w:val="auto"/>
          <w:highlight w:val="none"/>
        </w:rPr>
        <w:t>项目单位基本情况</w:t>
      </w:r>
      <w:bookmarkEnd w:id="10"/>
      <w:bookmarkEnd w:id="11"/>
      <w:bookmarkEnd w:id="12"/>
      <w:bookmarkEnd w:id="13"/>
      <w:bookmarkEnd w:id="14"/>
    </w:p>
    <w:p>
      <w:pPr>
        <w:adjustRightInd w:val="0"/>
        <w:snapToGrid w:val="0"/>
        <w:spacing w:line="360" w:lineRule="auto"/>
        <w:ind w:firstLine="640" w:firstLineChars="200"/>
        <w:rPr>
          <w:rFonts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1.单位概况</w:t>
      </w:r>
    </w:p>
    <w:p>
      <w:pPr>
        <w:adjustRightInd w:val="0"/>
        <w:snapToGrid w:val="0"/>
        <w:spacing w:line="360" w:lineRule="auto"/>
        <w:ind w:firstLine="640" w:firstLineChars="200"/>
        <w:rPr>
          <w:rFonts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2019年1月，根据党中央、国务院批准的《北京市机构改革方案》，中共北京市委制定了《北京市经济和信息化局职能配置、内设机构和人员编制规定》，将北京市经济信息化委员会、北京市无线电管理局（以下简称“市无线电管理局”）的职责整合，组建北京市经济和信息化局（以下简称“市经信局”），作为市政府组成部门，加挂市无线电管理局、市大数据管理局、市国防科学技术工业办公室三块牌子。市经信局贯彻落实党中央关于工业、软件和信息服务业的方针政策、决策部署和市委有关工作要求，在履行职责过程中坚持和加强党对工业、软件和信息服务业的集中统一领导。</w:t>
      </w:r>
    </w:p>
    <w:p>
      <w:pPr>
        <w:adjustRightInd w:val="0"/>
        <w:snapToGrid w:val="0"/>
        <w:spacing w:line="360" w:lineRule="auto"/>
        <w:ind w:firstLine="640" w:firstLineChars="200"/>
        <w:rPr>
          <w:rFonts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2.主要职责</w:t>
      </w:r>
    </w:p>
    <w:p>
      <w:pPr>
        <w:adjustRightInd w:val="0"/>
        <w:snapToGrid w:val="0"/>
        <w:spacing w:line="360" w:lineRule="auto"/>
        <w:ind w:firstLine="640" w:firstLineChars="200"/>
        <w:rPr>
          <w:rFonts w:hint="eastAsia"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（1）起草本市相关地方性法规草案、政府规章草案，并组织实施。</w:t>
      </w:r>
    </w:p>
    <w:p>
      <w:pPr>
        <w:adjustRightInd w:val="0"/>
        <w:snapToGrid w:val="0"/>
        <w:spacing w:line="360" w:lineRule="auto"/>
        <w:ind w:firstLine="640" w:firstLineChars="200"/>
        <w:rPr>
          <w:rFonts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（2）研究拟定并组织实施本市工业、软件和信息服务业发展规划和产业政策，推进产业布局调整和产业结构优化升级。</w:t>
      </w:r>
    </w:p>
    <w:p>
      <w:pPr>
        <w:adjustRightInd w:val="0"/>
        <w:snapToGrid w:val="0"/>
        <w:spacing w:line="360" w:lineRule="auto"/>
        <w:ind w:firstLine="640" w:firstLineChars="200"/>
        <w:rPr>
          <w:rFonts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w:t>
      </w:r>
      <w:r>
        <w:rPr>
          <w:rFonts w:hint="eastAsia" w:ascii="仿宋_GB2312" w:hAnsi="仿宋_GB2312" w:cs="仿宋_GB2312"/>
          <w:iCs/>
          <w:color w:val="auto"/>
          <w:sz w:val="32"/>
          <w:szCs w:val="32"/>
          <w:highlight w:val="none"/>
          <w:lang w:val="en-US" w:eastAsia="zh-CN"/>
        </w:rPr>
        <w:t>3</w:t>
      </w:r>
      <w:r>
        <w:rPr>
          <w:rFonts w:hint="eastAsia" w:ascii="仿宋_GB2312" w:hAnsi="仿宋_GB2312" w:cs="仿宋_GB2312"/>
          <w:iCs/>
          <w:color w:val="auto"/>
          <w:sz w:val="32"/>
          <w:szCs w:val="32"/>
          <w:highlight w:val="none"/>
        </w:rPr>
        <w:t>）监测分析本市工业、软件和信息服务业、信息化的运行态势，统计并发布相关信息。协调解决产业运行和发展中的有关问题，并提出政策建议。</w:t>
      </w:r>
    </w:p>
    <w:p>
      <w:pPr>
        <w:adjustRightInd w:val="0"/>
        <w:snapToGrid w:val="0"/>
        <w:spacing w:line="360" w:lineRule="auto"/>
        <w:ind w:firstLine="640" w:firstLineChars="200"/>
        <w:rPr>
          <w:rFonts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w:t>
      </w:r>
      <w:r>
        <w:rPr>
          <w:rFonts w:hint="eastAsia" w:ascii="仿宋_GB2312" w:hAnsi="仿宋_GB2312" w:cs="仿宋_GB2312"/>
          <w:iCs/>
          <w:color w:val="auto"/>
          <w:sz w:val="32"/>
          <w:szCs w:val="32"/>
          <w:highlight w:val="none"/>
          <w:lang w:val="en-US" w:eastAsia="zh-CN"/>
        </w:rPr>
        <w:t>4</w:t>
      </w:r>
      <w:r>
        <w:rPr>
          <w:rFonts w:hint="eastAsia" w:ascii="仿宋_GB2312" w:hAnsi="仿宋_GB2312" w:cs="仿宋_GB2312"/>
          <w:iCs/>
          <w:color w:val="auto"/>
          <w:sz w:val="32"/>
          <w:szCs w:val="32"/>
          <w:highlight w:val="none"/>
        </w:rPr>
        <w:t>）统筹协调本市信息化基础设施的规划和管理。参与统筹规划公用通信网、互联网、广播电视网和部门专用通信网。负责与国家通信主干网等专用通信网方面的协调工作。促进电信网络、广播电视网络和计算机网络融合。承担北京市通信保障应急指挥部的具体工作。</w:t>
      </w:r>
    </w:p>
    <w:p>
      <w:pPr>
        <w:adjustRightInd w:val="0"/>
        <w:snapToGrid w:val="0"/>
        <w:spacing w:line="360" w:lineRule="auto"/>
        <w:ind w:firstLine="640" w:firstLineChars="200"/>
        <w:rPr>
          <w:rFonts w:hint="eastAsia" w:ascii="仿宋_GB2312" w:hAnsi="仿宋_GB2312" w:eastAsia="仿宋_GB2312" w:cs="仿宋_GB2312"/>
          <w:iCs/>
          <w:color w:val="auto"/>
          <w:sz w:val="32"/>
          <w:szCs w:val="32"/>
          <w:highlight w:val="none"/>
          <w:lang w:val="en-US" w:eastAsia="zh-CN"/>
        </w:rPr>
      </w:pPr>
      <w:r>
        <w:rPr>
          <w:rFonts w:hint="eastAsia" w:ascii="仿宋_GB2312" w:hAnsi="仿宋_GB2312" w:cs="仿宋_GB2312"/>
          <w:iCs/>
          <w:color w:val="auto"/>
          <w:sz w:val="32"/>
          <w:szCs w:val="32"/>
          <w:highlight w:val="none"/>
        </w:rPr>
        <w:t>（</w:t>
      </w:r>
      <w:r>
        <w:rPr>
          <w:rFonts w:hint="eastAsia" w:ascii="仿宋_GB2312" w:hAnsi="仿宋_GB2312" w:cs="仿宋_GB2312"/>
          <w:iCs/>
          <w:color w:val="auto"/>
          <w:sz w:val="32"/>
          <w:szCs w:val="32"/>
          <w:highlight w:val="none"/>
          <w:lang w:val="en-US" w:eastAsia="zh-CN"/>
        </w:rPr>
        <w:t>5</w:t>
      </w:r>
      <w:r>
        <w:rPr>
          <w:rFonts w:hint="eastAsia" w:ascii="仿宋_GB2312" w:hAnsi="仿宋_GB2312" w:cs="仿宋_GB2312"/>
          <w:iCs/>
          <w:color w:val="auto"/>
          <w:sz w:val="32"/>
          <w:szCs w:val="32"/>
          <w:highlight w:val="none"/>
        </w:rPr>
        <w:t>）负责本市无线电管理工作。负责对无线电频率资源和无线电台（站）进行统一规划和管理。负责研制、生产、进口无线电发射设备的审核工作。协调处理电磁干扰事宜，维护空中电波秩序。</w:t>
      </w:r>
    </w:p>
    <w:p>
      <w:pPr>
        <w:pStyle w:val="3"/>
        <w:keepNext w:val="0"/>
        <w:keepLines w:val="0"/>
        <w:adjustRightInd w:val="0"/>
        <w:snapToGrid w:val="0"/>
        <w:spacing w:before="0" w:after="0" w:line="360" w:lineRule="auto"/>
        <w:ind w:firstLine="640" w:firstLineChars="200"/>
        <w:rPr>
          <w:rFonts w:ascii="楷体_GB2312" w:hAnsi="等线" w:eastAsia="楷体_GB2312" w:cs="Times New Roman"/>
          <w:b w:val="0"/>
          <w:bCs w:val="0"/>
          <w:color w:val="auto"/>
          <w:highlight w:val="none"/>
        </w:rPr>
      </w:pPr>
      <w:bookmarkStart w:id="15" w:name="_Toc336506956"/>
      <w:bookmarkStart w:id="16" w:name="_Toc336506891"/>
      <w:bookmarkStart w:id="17" w:name="_Toc5003"/>
      <w:bookmarkStart w:id="18" w:name="_Toc20516"/>
      <w:bookmarkStart w:id="19" w:name="_Toc55475184"/>
      <w:bookmarkStart w:id="20" w:name="_Toc6049"/>
      <w:bookmarkStart w:id="21" w:name="_Toc26848"/>
      <w:r>
        <w:rPr>
          <w:rFonts w:hint="eastAsia" w:ascii="楷体_GB2312" w:hAnsi="等线" w:eastAsia="楷体_GB2312" w:cs="Times New Roman"/>
          <w:b w:val="0"/>
          <w:bCs w:val="0"/>
          <w:color w:val="auto"/>
          <w:highlight w:val="none"/>
        </w:rPr>
        <w:t>（二）</w:t>
      </w:r>
      <w:bookmarkEnd w:id="15"/>
      <w:bookmarkEnd w:id="16"/>
      <w:r>
        <w:rPr>
          <w:rFonts w:hint="eastAsia" w:ascii="楷体_GB2312" w:hAnsi="等线" w:eastAsia="楷体_GB2312" w:cs="Times New Roman"/>
          <w:b w:val="0"/>
          <w:bCs w:val="0"/>
          <w:color w:val="auto"/>
          <w:highlight w:val="none"/>
        </w:rPr>
        <w:t>项目概况</w:t>
      </w:r>
      <w:bookmarkEnd w:id="17"/>
      <w:bookmarkEnd w:id="18"/>
      <w:bookmarkEnd w:id="19"/>
      <w:bookmarkEnd w:id="20"/>
      <w:bookmarkEnd w:id="21"/>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22" w:name="_Toc21981"/>
      <w:bookmarkStart w:id="23" w:name="_Toc26736"/>
      <w:bookmarkStart w:id="24" w:name="_Toc8018"/>
      <w:r>
        <w:rPr>
          <w:rFonts w:hint="eastAsia" w:ascii="仿宋_GB2312" w:hAnsi="仿宋_GB2312" w:cs="仿宋_GB2312"/>
          <w:iCs/>
          <w:color w:val="auto"/>
          <w:sz w:val="32"/>
          <w:szCs w:val="32"/>
          <w:highlight w:val="none"/>
        </w:rPr>
        <w:t>1.转移支付概况</w:t>
      </w:r>
      <w:bookmarkEnd w:id="22"/>
      <w:bookmarkEnd w:id="23"/>
      <w:bookmarkEnd w:id="24"/>
    </w:p>
    <w:p>
      <w:pPr>
        <w:adjustRightInd w:val="0"/>
        <w:snapToGrid w:val="0"/>
        <w:spacing w:line="360" w:lineRule="auto"/>
        <w:ind w:firstLine="640" w:firstLineChars="200"/>
        <w:rPr>
          <w:rFonts w:hint="eastAsia" w:ascii="仿宋_GB2312" w:hAnsi="仿宋_GB2312" w:cs="仿宋_GB2312"/>
          <w:iCs/>
          <w:color w:val="auto"/>
          <w:sz w:val="32"/>
          <w:szCs w:val="32"/>
          <w:highlight w:val="none"/>
          <w:lang w:val="en-US" w:eastAsia="zh-CN"/>
        </w:rPr>
      </w:pPr>
      <w:r>
        <w:rPr>
          <w:rFonts w:hint="eastAsia" w:ascii="仿宋_GB2312" w:hAnsi="仿宋_GB2312" w:cs="仿宋_GB2312"/>
          <w:iCs/>
          <w:color w:val="auto"/>
          <w:sz w:val="32"/>
          <w:szCs w:val="32"/>
          <w:highlight w:val="none"/>
          <w:lang w:val="en-US" w:eastAsia="zh-CN"/>
        </w:rPr>
        <w:t>无线电管理经费资金是中央财政通过一般公共预算安排的，用于支持国家和地方无线电事业发展的一般性转移支付资金，经费由地方统筹使用，主要用于支持无线电管理基础和技术设施建设、无线电管理基础和技术设施运行维护、无线电管理专项监管工作、无线电发射设备型号核准测试等工作。</w:t>
      </w:r>
    </w:p>
    <w:p>
      <w:pPr>
        <w:adjustRightInd w:val="0"/>
        <w:snapToGrid w:val="0"/>
        <w:spacing w:line="360" w:lineRule="auto"/>
        <w:ind w:firstLine="640" w:firstLineChars="200"/>
        <w:rPr>
          <w:rFonts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lang w:val="en-US" w:eastAsia="zh-CN"/>
        </w:rPr>
        <w:t>无线电管理经费实行申报审批制度，即各省（自治区、直辖市、计划单列市）工业和信息化主管部门每年开展资金申报、使用工作，对资金申报的真实性和使用的有效性承担主体责任，同级财政部门对资金使用计划进行审核后于当年12月31日前报送财政部。财政部对提出的支出计划进行汇总后，根据当年无线电管理经费收入规模、国家无线电管理机构审核意见、无线电事业发展年度计划和中长期规划，并兼顾各省（自治区、直辖市、计划单列市）资金支出管理、使用效益及当年需求等综合因素进行审核后，向各省（自治区、直辖市、计划单列市）财政厅（局）下达资金预算指标。</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25" w:name="_Toc20745"/>
      <w:bookmarkStart w:id="26" w:name="_Toc15173"/>
      <w:bookmarkStart w:id="27" w:name="_Toc13402"/>
      <w:r>
        <w:rPr>
          <w:rFonts w:hint="eastAsia" w:ascii="仿宋_GB2312" w:hAnsi="仿宋_GB2312" w:cs="仿宋_GB2312"/>
          <w:iCs/>
          <w:color w:val="auto"/>
          <w:sz w:val="32"/>
          <w:szCs w:val="32"/>
          <w:highlight w:val="none"/>
        </w:rPr>
        <w:t>2.立项依据</w:t>
      </w:r>
      <w:bookmarkEnd w:id="25"/>
      <w:bookmarkEnd w:id="26"/>
      <w:bookmarkEnd w:id="27"/>
    </w:p>
    <w:p>
      <w:pPr>
        <w:adjustRightInd w:val="0"/>
        <w:snapToGrid w:val="0"/>
        <w:spacing w:line="360" w:lineRule="auto"/>
        <w:ind w:firstLine="640" w:firstLineChars="200"/>
        <w:rPr>
          <w:rFonts w:hint="default" w:ascii="仿宋_GB2312" w:hAnsi="仿宋_GB2312" w:eastAsia="仿宋_GB2312" w:cs="仿宋_GB2312"/>
          <w:iCs/>
          <w:color w:val="auto"/>
          <w:sz w:val="32"/>
          <w:szCs w:val="32"/>
          <w:highlight w:val="none"/>
          <w:lang w:val="en-US" w:eastAsia="zh-CN"/>
        </w:rPr>
      </w:pPr>
      <w:r>
        <w:rPr>
          <w:rFonts w:hint="eastAsia" w:ascii="仿宋_GB2312" w:hAnsi="宋体" w:cs="宋体"/>
          <w:color w:val="auto"/>
          <w:kern w:val="0"/>
          <w:sz w:val="32"/>
          <w:szCs w:val="28"/>
          <w:highlight w:val="none"/>
        </w:rPr>
        <w:t>无线电频谱资源是国家的战略性稀缺资源，是无线电相关产业发展的基础和先导。当前，移动通信产业成为数字经济发展的新引擎，也是无线电频谱资源支撑的重要行业之一，以5G、物联网、工业互联网、卫星互联网等为代表的新一代信息技术蓬勃兴起，无线电频谱资源作为信息传输无所不在的唯一载体，对于引领产业发展，支撑社会经济和国防建设具有重要意义。2016年，</w:t>
      </w:r>
      <w:r>
        <w:rPr>
          <w:rFonts w:hint="eastAsia" w:ascii="仿宋_GB2312" w:hAnsi="仿宋_GB2312" w:cs="仿宋_GB2312"/>
          <w:iCs/>
          <w:color w:val="auto"/>
          <w:sz w:val="32"/>
          <w:szCs w:val="32"/>
          <w:highlight w:val="none"/>
        </w:rPr>
        <w:t>《中华人民共和国国民经济和社会发展第十三个五年规划》首次提出“优化国家频谱资源配置，加强无线电频谱管理，维护安全有序的电波秩序；合理规划利用卫星频率和轨道资源”等要求。2021年，</w:t>
      </w:r>
      <w:r>
        <w:rPr>
          <w:rFonts w:hint="eastAsia" w:ascii="仿宋_GB2312" w:hAnsi="宋体" w:cs="宋体"/>
          <w:color w:val="auto"/>
          <w:kern w:val="0"/>
          <w:sz w:val="32"/>
          <w:szCs w:val="28"/>
          <w:highlight w:val="none"/>
        </w:rPr>
        <w:t>《中华人民共和国国民经济和社会发展第十四个五年规划和2035年远景目标纲要》（以下简称“《十四五规划》”）提出“打造数字经济新优势。充分发挥海量数据和丰富应用场景优势，促进数字技术与实体经济深度融合，赋能传统产业转型升级，催生新产业新业态新模式，壮大经济发展新引擎”</w:t>
      </w:r>
      <w:r>
        <w:rPr>
          <w:rFonts w:hint="eastAsia" w:ascii="仿宋_GB2312" w:hAnsi="仿宋_GB2312" w:cs="仿宋_GB2312"/>
          <w:iCs/>
          <w:color w:val="auto"/>
          <w:sz w:val="32"/>
          <w:szCs w:val="32"/>
          <w:highlight w:val="none"/>
        </w:rPr>
        <w:t>，无线电频谱资源的战略地位愈加突出。《北京市无线电管理“十四五”规划》提出“到2025年，无线电管理内生发展动力进一步提升，基本形成频谱效能发挥更加凸显、安全保障能力显著增强、无线电法治建设基本健全、技术手段更趋精细智能、京津冀协同发展紧密协调、军民融合迈向深度发展的无线电管理体系，无线电管理效益更加突出”。</w:t>
      </w:r>
      <w:r>
        <w:rPr>
          <w:rFonts w:hint="eastAsia" w:ascii="仿宋_GB2312" w:hAnsi="宋体" w:cs="宋体"/>
          <w:color w:val="auto"/>
          <w:kern w:val="0"/>
          <w:sz w:val="32"/>
          <w:szCs w:val="28"/>
          <w:highlight w:val="none"/>
        </w:rPr>
        <w:t>“十四五”期间，北京市以推动首都高质量发展为主题，大力发展数字经济，打造具有国际竞争力的数字产业集群，建设全球数字经济标杆城市。“十四五”以来，北京数字经济产业在前沿领域不断探索</w:t>
      </w:r>
      <w:r>
        <w:rPr>
          <w:rFonts w:hint="eastAsia" w:ascii="仿宋_GB2312" w:hAnsi="宋体" w:cs="宋体"/>
          <w:color w:val="auto"/>
          <w:kern w:val="0"/>
          <w:sz w:val="32"/>
          <w:szCs w:val="28"/>
          <w:highlight w:val="none"/>
          <w:lang w:eastAsia="zh-CN"/>
        </w:rPr>
        <w:t>，</w:t>
      </w:r>
      <w:r>
        <w:rPr>
          <w:rFonts w:hint="eastAsia" w:ascii="仿宋_GB2312" w:hAnsi="宋体" w:cs="宋体"/>
          <w:color w:val="auto"/>
          <w:kern w:val="0"/>
          <w:sz w:val="32"/>
          <w:szCs w:val="28"/>
          <w:highlight w:val="none"/>
          <w:lang w:val="en-US" w:eastAsia="zh-CN"/>
        </w:rPr>
        <w:t>推动了新一代信息技术的迅猛发展，以互联网、云计算、区块链、人工智能为代表的数字技术正迎来融合发展机遇，并逐步转化成为激发创新创造的澎湃动能，数字技术的蓬勃发展的同时也对无线电频率资源提出了更高的要求。</w:t>
      </w:r>
    </w:p>
    <w:p>
      <w:pPr>
        <w:adjustRightInd w:val="0"/>
        <w:snapToGrid w:val="0"/>
        <w:spacing w:line="360" w:lineRule="auto"/>
        <w:ind w:firstLine="640" w:firstLineChars="200"/>
        <w:rPr>
          <w:rFonts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为了促进北京市社会经济繁荣稳定，推动无线电事业的持续发展，全面提升频谱资源支撑、电磁空间安全保障、无线电管理治理和技术支撑等能力，保障无线电管理支撑能力建设不断适应无线电事业发展的需要，全力维护首都电波秩序</w:t>
      </w:r>
      <w:r>
        <w:rPr>
          <w:rFonts w:hint="eastAsia" w:ascii="仿宋_GB2312" w:hAnsi="仿宋_GB2312" w:cs="仿宋_GB2312"/>
          <w:iCs/>
          <w:color w:val="auto"/>
          <w:sz w:val="32"/>
          <w:szCs w:val="32"/>
          <w:highlight w:val="none"/>
          <w:lang w:eastAsia="zh-CN"/>
        </w:rPr>
        <w:t>，</w:t>
      </w:r>
      <w:r>
        <w:rPr>
          <w:rFonts w:hint="eastAsia" w:ascii="仿宋_GB2312" w:hAnsi="仿宋_GB2312" w:cs="仿宋_GB2312"/>
          <w:iCs/>
          <w:color w:val="auto"/>
          <w:sz w:val="32"/>
          <w:szCs w:val="32"/>
          <w:highlight w:val="none"/>
        </w:rPr>
        <w:t>根据国家和北京市的无线电管理“十四五”规划，按照《无线电管理经费资金管理办法》《无线电频率占用费管理办法》的规定，市经信局202</w:t>
      </w:r>
      <w:r>
        <w:rPr>
          <w:rFonts w:hint="eastAsia" w:ascii="仿宋_GB2312" w:hAnsi="仿宋_GB2312" w:cs="仿宋_GB2312"/>
          <w:iCs/>
          <w:color w:val="auto"/>
          <w:sz w:val="32"/>
          <w:szCs w:val="32"/>
          <w:highlight w:val="none"/>
          <w:lang w:val="en-US" w:eastAsia="zh-CN"/>
        </w:rPr>
        <w:t>3</w:t>
      </w:r>
      <w:r>
        <w:rPr>
          <w:rFonts w:hint="eastAsia" w:ascii="仿宋_GB2312" w:hAnsi="仿宋_GB2312" w:cs="仿宋_GB2312"/>
          <w:iCs/>
          <w:color w:val="auto"/>
          <w:sz w:val="32"/>
          <w:szCs w:val="32"/>
          <w:highlight w:val="none"/>
        </w:rPr>
        <w:t>年度继续申请</w:t>
      </w:r>
      <w:r>
        <w:rPr>
          <w:rFonts w:hint="eastAsia" w:ascii="仿宋_GB2312" w:hAnsi="仿宋_GB2312" w:cs="仿宋_GB2312"/>
          <w:iCs/>
          <w:color w:val="auto"/>
          <w:sz w:val="32"/>
          <w:szCs w:val="32"/>
          <w:highlight w:val="none"/>
          <w:lang w:val="en-US" w:eastAsia="zh-CN"/>
        </w:rPr>
        <w:t>无线电管理经费资金</w:t>
      </w:r>
      <w:r>
        <w:rPr>
          <w:rFonts w:hint="eastAsia" w:ascii="仿宋_GB2312" w:hAnsi="仿宋_GB2312" w:cs="仿宋_GB2312"/>
          <w:iCs/>
          <w:color w:val="auto"/>
          <w:sz w:val="32"/>
          <w:szCs w:val="32"/>
          <w:highlight w:val="none"/>
        </w:rPr>
        <w:t>，主要用于无线电管理基础和技术设施建设</w:t>
      </w:r>
      <w:r>
        <w:rPr>
          <w:rFonts w:hint="eastAsia" w:ascii="仿宋_GB2312" w:hAnsi="仿宋_GB2312" w:cs="仿宋_GB2312"/>
          <w:iCs/>
          <w:color w:val="auto"/>
          <w:sz w:val="32"/>
          <w:szCs w:val="32"/>
          <w:highlight w:val="none"/>
          <w:lang w:eastAsia="zh-CN"/>
        </w:rPr>
        <w:t>、</w:t>
      </w:r>
      <w:r>
        <w:rPr>
          <w:rFonts w:hint="eastAsia" w:ascii="仿宋_GB2312" w:hAnsi="仿宋_GB2312" w:cs="仿宋_GB2312"/>
          <w:iCs/>
          <w:color w:val="auto"/>
          <w:sz w:val="32"/>
          <w:szCs w:val="32"/>
          <w:highlight w:val="none"/>
        </w:rPr>
        <w:t>无线电管理基础设施和技术设施运行维护、专项监管和其他相关支出、无线电发射设备型号核准测试项目</w:t>
      </w:r>
      <w:r>
        <w:rPr>
          <w:rFonts w:hint="eastAsia" w:ascii="仿宋_GB2312" w:hAnsi="仿宋_GB2312" w:cs="仿宋_GB2312"/>
          <w:iCs/>
          <w:color w:val="auto"/>
          <w:sz w:val="32"/>
          <w:szCs w:val="32"/>
          <w:highlight w:val="none"/>
          <w:lang w:val="en-US" w:eastAsia="zh-CN"/>
        </w:rPr>
        <w:t>等工作</w:t>
      </w:r>
      <w:r>
        <w:rPr>
          <w:rFonts w:hint="eastAsia" w:ascii="仿宋_GB2312" w:hAnsi="仿宋_GB2312" w:cs="仿宋_GB2312"/>
          <w:iCs/>
          <w:color w:val="auto"/>
          <w:sz w:val="32"/>
          <w:szCs w:val="32"/>
          <w:highlight w:val="none"/>
        </w:rPr>
        <w:t>。</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28" w:name="_Toc12761"/>
      <w:bookmarkStart w:id="29" w:name="_Toc3779"/>
      <w:bookmarkStart w:id="30" w:name="_Toc31125"/>
      <w:r>
        <w:rPr>
          <w:rFonts w:hint="eastAsia" w:ascii="仿宋_GB2312" w:hAnsi="仿宋_GB2312" w:cs="仿宋_GB2312"/>
          <w:iCs/>
          <w:color w:val="auto"/>
          <w:sz w:val="32"/>
          <w:szCs w:val="32"/>
          <w:highlight w:val="none"/>
        </w:rPr>
        <w:t>3.预算概况</w:t>
      </w:r>
      <w:bookmarkEnd w:id="28"/>
      <w:bookmarkEnd w:id="29"/>
    </w:p>
    <w:p>
      <w:pPr>
        <w:adjustRightInd w:val="0"/>
        <w:snapToGrid w:val="0"/>
        <w:spacing w:line="360" w:lineRule="auto"/>
        <w:ind w:firstLine="640" w:firstLineChars="200"/>
        <w:rPr>
          <w:rFonts w:hint="eastAsia" w:ascii="仿宋_GB2312" w:hAnsi="仿宋_GB2312" w:cs="仿宋_GB2312"/>
          <w:iCs/>
          <w:color w:val="auto"/>
          <w:sz w:val="32"/>
          <w:szCs w:val="32"/>
          <w:highlight w:val="none"/>
        </w:rPr>
      </w:pPr>
      <w:r>
        <w:rPr>
          <w:rFonts w:hint="eastAsia" w:ascii="仿宋_GB2312" w:hAnsi="仿宋_GB2312" w:cs="仿宋_GB2312"/>
          <w:iCs/>
          <w:color w:val="auto"/>
          <w:sz w:val="32"/>
          <w:szCs w:val="32"/>
          <w:highlight w:val="none"/>
        </w:rPr>
        <w:t>北京市财政局于202</w:t>
      </w:r>
      <w:r>
        <w:rPr>
          <w:rFonts w:hint="eastAsia" w:ascii="仿宋_GB2312" w:hAnsi="仿宋_GB2312" w:cs="仿宋_GB2312"/>
          <w:iCs/>
          <w:color w:val="auto"/>
          <w:sz w:val="32"/>
          <w:szCs w:val="32"/>
          <w:highlight w:val="none"/>
          <w:lang w:val="en-US" w:eastAsia="zh-CN"/>
        </w:rPr>
        <w:t>3</w:t>
      </w:r>
      <w:r>
        <w:rPr>
          <w:rFonts w:hint="eastAsia" w:ascii="仿宋_GB2312" w:hAnsi="仿宋_GB2312" w:cs="仿宋_GB2312"/>
          <w:iCs/>
          <w:color w:val="auto"/>
          <w:sz w:val="32"/>
          <w:szCs w:val="32"/>
          <w:highlight w:val="none"/>
        </w:rPr>
        <w:t>年</w:t>
      </w:r>
      <w:r>
        <w:rPr>
          <w:rFonts w:hint="eastAsia" w:ascii="仿宋_GB2312" w:hAnsi="仿宋_GB2312" w:cs="仿宋_GB2312"/>
          <w:iCs/>
          <w:color w:val="auto"/>
          <w:sz w:val="32"/>
          <w:szCs w:val="32"/>
          <w:highlight w:val="none"/>
          <w:lang w:val="en-US" w:eastAsia="zh-CN"/>
        </w:rPr>
        <w:t>2</w:t>
      </w:r>
      <w:r>
        <w:rPr>
          <w:rFonts w:hint="eastAsia" w:ascii="仿宋_GB2312" w:hAnsi="仿宋_GB2312" w:cs="仿宋_GB2312"/>
          <w:iCs/>
          <w:color w:val="auto"/>
          <w:sz w:val="32"/>
          <w:szCs w:val="32"/>
          <w:highlight w:val="none"/>
        </w:rPr>
        <w:t>月</w:t>
      </w:r>
      <w:r>
        <w:rPr>
          <w:rFonts w:hint="eastAsia" w:ascii="仿宋_GB2312" w:hAnsi="仿宋_GB2312" w:cs="仿宋_GB2312"/>
          <w:iCs/>
          <w:color w:val="auto"/>
          <w:sz w:val="32"/>
          <w:szCs w:val="32"/>
          <w:highlight w:val="none"/>
          <w:lang w:val="en-US" w:eastAsia="zh-CN"/>
        </w:rPr>
        <w:t>7日印发</w:t>
      </w:r>
      <w:r>
        <w:rPr>
          <w:rFonts w:hint="eastAsia" w:ascii="仿宋_GB2312" w:hAnsi="仿宋_GB2312" w:cs="仿宋_GB2312"/>
          <w:iCs/>
          <w:color w:val="auto"/>
          <w:sz w:val="32"/>
          <w:szCs w:val="32"/>
          <w:highlight w:val="none"/>
        </w:rPr>
        <w:t>《北京市财政局关于批复北京市经济和信息化局202</w:t>
      </w:r>
      <w:r>
        <w:rPr>
          <w:rFonts w:hint="eastAsia" w:ascii="仿宋_GB2312" w:hAnsi="仿宋_GB2312" w:cs="仿宋_GB2312"/>
          <w:iCs/>
          <w:color w:val="auto"/>
          <w:sz w:val="32"/>
          <w:szCs w:val="32"/>
          <w:highlight w:val="none"/>
          <w:lang w:val="en-US" w:eastAsia="zh-CN"/>
        </w:rPr>
        <w:t>3</w:t>
      </w:r>
      <w:r>
        <w:rPr>
          <w:rFonts w:hint="eastAsia" w:ascii="仿宋_GB2312" w:hAnsi="仿宋_GB2312" w:cs="仿宋_GB2312"/>
          <w:iCs/>
          <w:color w:val="auto"/>
          <w:sz w:val="32"/>
          <w:szCs w:val="32"/>
          <w:highlight w:val="none"/>
        </w:rPr>
        <w:t>年预算的函》（京财经建指〔202</w:t>
      </w:r>
      <w:r>
        <w:rPr>
          <w:rFonts w:hint="eastAsia" w:ascii="仿宋_GB2312" w:hAnsi="仿宋_GB2312" w:cs="仿宋_GB2312"/>
          <w:iCs/>
          <w:color w:val="auto"/>
          <w:sz w:val="32"/>
          <w:szCs w:val="32"/>
          <w:highlight w:val="none"/>
          <w:lang w:val="en-US" w:eastAsia="zh-CN"/>
        </w:rPr>
        <w:t>3</w:t>
      </w:r>
      <w:r>
        <w:rPr>
          <w:rFonts w:hint="eastAsia" w:ascii="仿宋_GB2312" w:hAnsi="仿宋_GB2312" w:cs="仿宋_GB2312"/>
          <w:iCs/>
          <w:color w:val="auto"/>
          <w:sz w:val="32"/>
          <w:szCs w:val="32"/>
          <w:highlight w:val="none"/>
        </w:rPr>
        <w:t>〕0</w:t>
      </w:r>
      <w:r>
        <w:rPr>
          <w:rFonts w:hint="eastAsia" w:ascii="仿宋_GB2312" w:hAnsi="仿宋_GB2312" w:cs="仿宋_GB2312"/>
          <w:iCs/>
          <w:color w:val="auto"/>
          <w:sz w:val="32"/>
          <w:szCs w:val="32"/>
          <w:highlight w:val="none"/>
          <w:lang w:val="en-US" w:eastAsia="zh-CN"/>
        </w:rPr>
        <w:t>0</w:t>
      </w:r>
      <w:r>
        <w:rPr>
          <w:rFonts w:hint="eastAsia" w:ascii="仿宋_GB2312" w:hAnsi="仿宋_GB2312" w:cs="仿宋_GB2312"/>
          <w:iCs/>
          <w:color w:val="auto"/>
          <w:sz w:val="32"/>
          <w:szCs w:val="32"/>
          <w:highlight w:val="none"/>
        </w:rPr>
        <w:t>23号）</w:t>
      </w:r>
      <w:r>
        <w:rPr>
          <w:rFonts w:hint="eastAsia" w:ascii="仿宋_GB2312" w:hAnsi="仿宋_GB2312" w:cs="仿宋_GB2312"/>
          <w:iCs/>
          <w:color w:val="auto"/>
          <w:sz w:val="32"/>
          <w:szCs w:val="32"/>
          <w:highlight w:val="none"/>
          <w:lang w:eastAsia="zh-CN"/>
        </w:rPr>
        <w:t>，</w:t>
      </w:r>
      <w:r>
        <w:rPr>
          <w:rFonts w:hint="eastAsia" w:ascii="仿宋_GB2312" w:hAnsi="仿宋_GB2312" w:cs="仿宋_GB2312"/>
          <w:iCs/>
          <w:color w:val="auto"/>
          <w:sz w:val="32"/>
          <w:szCs w:val="32"/>
          <w:highlight w:val="none"/>
        </w:rPr>
        <w:t>下达</w:t>
      </w:r>
      <w:r>
        <w:rPr>
          <w:rFonts w:hint="eastAsia" w:ascii="仿宋_GB2312" w:hAnsi="仿宋_GB2312" w:cs="仿宋_GB2312"/>
          <w:iCs/>
          <w:color w:val="auto"/>
          <w:sz w:val="32"/>
          <w:szCs w:val="32"/>
          <w:highlight w:val="none"/>
          <w:lang w:val="en-US" w:eastAsia="zh-CN"/>
        </w:rPr>
        <w:t>市经信局</w:t>
      </w:r>
      <w:r>
        <w:rPr>
          <w:rFonts w:hint="eastAsia" w:ascii="仿宋_GB2312" w:hAnsi="仿宋_GB2312" w:cs="仿宋_GB2312"/>
          <w:iCs/>
          <w:color w:val="auto"/>
          <w:sz w:val="32"/>
          <w:szCs w:val="32"/>
          <w:highlight w:val="none"/>
        </w:rPr>
        <w:t>202</w:t>
      </w:r>
      <w:r>
        <w:rPr>
          <w:rFonts w:hint="eastAsia" w:ascii="仿宋_GB2312" w:hAnsi="仿宋_GB2312" w:cs="仿宋_GB2312"/>
          <w:iCs/>
          <w:color w:val="auto"/>
          <w:sz w:val="32"/>
          <w:szCs w:val="32"/>
          <w:highlight w:val="none"/>
          <w:lang w:val="en-US" w:eastAsia="zh-CN"/>
        </w:rPr>
        <w:t>3</w:t>
      </w:r>
      <w:r>
        <w:rPr>
          <w:rFonts w:hint="eastAsia" w:ascii="仿宋_GB2312" w:hAnsi="仿宋_GB2312" w:cs="仿宋_GB2312"/>
          <w:iCs/>
          <w:color w:val="auto"/>
          <w:sz w:val="32"/>
          <w:szCs w:val="32"/>
          <w:highlight w:val="none"/>
        </w:rPr>
        <w:t>年</w:t>
      </w:r>
      <w:r>
        <w:rPr>
          <w:rFonts w:hint="eastAsia" w:ascii="仿宋_GB2312" w:hAnsi="仿宋_GB2312" w:cs="仿宋_GB2312"/>
          <w:iCs/>
          <w:color w:val="auto"/>
          <w:sz w:val="32"/>
          <w:szCs w:val="32"/>
          <w:highlight w:val="none"/>
          <w:lang w:val="en-US" w:eastAsia="zh-CN"/>
        </w:rPr>
        <w:t>无线电管理经费</w:t>
      </w:r>
      <w:r>
        <w:rPr>
          <w:rFonts w:hint="eastAsia" w:ascii="仿宋_GB2312" w:hAnsi="仿宋_GB2312" w:cs="仿宋_GB2312"/>
          <w:iCs/>
          <w:color w:val="auto"/>
          <w:sz w:val="32"/>
          <w:szCs w:val="32"/>
          <w:highlight w:val="none"/>
        </w:rPr>
        <w:t>资金</w:t>
      </w:r>
      <w:r>
        <w:rPr>
          <w:rFonts w:hint="eastAsia" w:ascii="仿宋_GB2312" w:hAnsi="仿宋_GB2312" w:cs="仿宋_GB2312"/>
          <w:iCs/>
          <w:color w:val="auto"/>
          <w:sz w:val="32"/>
          <w:szCs w:val="32"/>
          <w:highlight w:val="none"/>
          <w:lang w:val="en-US" w:eastAsia="zh-CN"/>
        </w:rPr>
        <w:t>17945.74万元，其中当年预算</w:t>
      </w:r>
      <w:r>
        <w:rPr>
          <w:rFonts w:hint="eastAsia" w:ascii="仿宋_GB2312" w:hAnsi="仿宋_GB2312" w:cs="仿宋_GB2312"/>
          <w:iCs/>
          <w:color w:val="auto"/>
          <w:sz w:val="32"/>
          <w:szCs w:val="32"/>
          <w:highlight w:val="none"/>
        </w:rPr>
        <w:t>1</w:t>
      </w:r>
      <w:r>
        <w:rPr>
          <w:rFonts w:hint="eastAsia" w:ascii="仿宋_GB2312" w:hAnsi="仿宋_GB2312" w:cs="仿宋_GB2312"/>
          <w:iCs/>
          <w:color w:val="auto"/>
          <w:sz w:val="32"/>
          <w:szCs w:val="32"/>
          <w:highlight w:val="none"/>
          <w:lang w:val="en-US" w:eastAsia="zh-CN"/>
        </w:rPr>
        <w:t>2756</w:t>
      </w:r>
      <w:r>
        <w:rPr>
          <w:rFonts w:hint="eastAsia" w:ascii="仿宋_GB2312" w:hAnsi="仿宋_GB2312" w:cs="仿宋_GB2312"/>
          <w:iCs/>
          <w:color w:val="auto"/>
          <w:sz w:val="32"/>
          <w:szCs w:val="32"/>
          <w:highlight w:val="none"/>
        </w:rPr>
        <w:t>万元</w:t>
      </w:r>
      <w:r>
        <w:rPr>
          <w:rFonts w:hint="eastAsia" w:ascii="仿宋_GB2312" w:hAnsi="仿宋_GB2312" w:cs="仿宋_GB2312"/>
          <w:iCs/>
          <w:color w:val="auto"/>
          <w:sz w:val="32"/>
          <w:szCs w:val="32"/>
          <w:highlight w:val="none"/>
          <w:lang w:eastAsia="zh-CN"/>
        </w:rPr>
        <w:t>，</w:t>
      </w:r>
      <w:r>
        <w:rPr>
          <w:rFonts w:hint="eastAsia" w:ascii="仿宋_GB2312" w:hAnsi="仿宋_GB2312" w:cs="仿宋_GB2312"/>
          <w:iCs/>
          <w:color w:val="auto"/>
          <w:sz w:val="32"/>
          <w:szCs w:val="32"/>
          <w:highlight w:val="none"/>
          <w:lang w:val="en-US" w:eastAsia="zh-CN"/>
        </w:rPr>
        <w:t>上年结转资金5189.74万元</w:t>
      </w:r>
      <w:r>
        <w:rPr>
          <w:rFonts w:hint="eastAsia" w:ascii="仿宋_GB2312" w:hAnsi="仿宋_GB2312" w:cs="仿宋_GB2312"/>
          <w:iCs/>
          <w:color w:val="auto"/>
          <w:sz w:val="32"/>
          <w:szCs w:val="32"/>
          <w:highlight w:val="none"/>
          <w:lang w:eastAsia="zh-CN"/>
        </w:rPr>
        <w:t>。</w:t>
      </w:r>
      <w:r>
        <w:rPr>
          <w:rFonts w:hint="eastAsia" w:ascii="仿宋_GB2312" w:hAnsi="仿宋_GB2312" w:cs="仿宋_GB2312"/>
          <w:iCs/>
          <w:color w:val="auto"/>
          <w:sz w:val="32"/>
          <w:szCs w:val="32"/>
          <w:highlight w:val="none"/>
          <w:lang w:val="en-US" w:eastAsia="zh-CN"/>
        </w:rPr>
        <w:t>2023年度项目经费包括：</w:t>
      </w:r>
      <w:r>
        <w:rPr>
          <w:rFonts w:hint="eastAsia" w:ascii="仿宋_GB2312" w:hAnsi="仿宋_GB2312" w:cs="仿宋_GB2312"/>
          <w:iCs/>
          <w:color w:val="auto"/>
          <w:sz w:val="32"/>
          <w:szCs w:val="32"/>
          <w:highlight w:val="none"/>
        </w:rPr>
        <w:t>无线电管理基础和技术设施建设支出</w:t>
      </w:r>
      <w:r>
        <w:rPr>
          <w:rFonts w:hint="eastAsia" w:ascii="仿宋_GB2312" w:hAnsi="仿宋_GB2312" w:cs="仿宋_GB2312"/>
          <w:iCs/>
          <w:color w:val="auto"/>
          <w:sz w:val="32"/>
          <w:szCs w:val="32"/>
          <w:highlight w:val="none"/>
          <w:lang w:val="en-US" w:eastAsia="zh-CN"/>
        </w:rPr>
        <w:t>1998</w:t>
      </w:r>
      <w:r>
        <w:rPr>
          <w:rFonts w:hint="eastAsia" w:ascii="仿宋_GB2312" w:hAnsi="仿宋_GB2312" w:cs="仿宋_GB2312"/>
          <w:iCs/>
          <w:color w:val="auto"/>
          <w:sz w:val="32"/>
          <w:szCs w:val="32"/>
          <w:highlight w:val="none"/>
        </w:rPr>
        <w:t>万元，无线电管理基础和技术设施运行维护支出</w:t>
      </w:r>
      <w:r>
        <w:rPr>
          <w:rFonts w:hint="eastAsia" w:ascii="仿宋_GB2312" w:hAnsi="仿宋_GB2312" w:cs="仿宋_GB2312"/>
          <w:iCs/>
          <w:color w:val="auto"/>
          <w:sz w:val="32"/>
          <w:szCs w:val="32"/>
          <w:highlight w:val="none"/>
          <w:lang w:val="en-US" w:eastAsia="zh-CN"/>
        </w:rPr>
        <w:t>859</w:t>
      </w:r>
      <w:r>
        <w:rPr>
          <w:rFonts w:hint="eastAsia" w:ascii="仿宋_GB2312" w:hAnsi="仿宋_GB2312" w:cs="仿宋_GB2312"/>
          <w:iCs/>
          <w:color w:val="auto"/>
          <w:sz w:val="32"/>
          <w:szCs w:val="32"/>
          <w:highlight w:val="none"/>
        </w:rPr>
        <w:t>万元，专项监管和其他相关支出</w:t>
      </w:r>
      <w:r>
        <w:rPr>
          <w:rFonts w:hint="eastAsia" w:ascii="仿宋_GB2312" w:hAnsi="仿宋_GB2312" w:cs="仿宋_GB2312"/>
          <w:iCs/>
          <w:color w:val="auto"/>
          <w:sz w:val="32"/>
          <w:szCs w:val="32"/>
          <w:highlight w:val="none"/>
          <w:lang w:val="en-US" w:eastAsia="zh-CN"/>
        </w:rPr>
        <w:t>9899</w:t>
      </w:r>
      <w:r>
        <w:rPr>
          <w:rFonts w:hint="eastAsia" w:ascii="仿宋_GB2312" w:hAnsi="仿宋_GB2312" w:cs="仿宋_GB2312"/>
          <w:iCs/>
          <w:color w:val="auto"/>
          <w:sz w:val="32"/>
          <w:szCs w:val="32"/>
          <w:highlight w:val="none"/>
        </w:rPr>
        <w:t>万元。市经信局向工业和信息化部（以下简称“工信部”）申报1</w:t>
      </w:r>
      <w:r>
        <w:rPr>
          <w:rFonts w:hint="eastAsia" w:ascii="仿宋_GB2312" w:hAnsi="仿宋_GB2312" w:cs="仿宋_GB2312"/>
          <w:iCs/>
          <w:color w:val="auto"/>
          <w:sz w:val="32"/>
          <w:szCs w:val="32"/>
          <w:highlight w:val="none"/>
          <w:lang w:val="en-US" w:eastAsia="zh-CN"/>
        </w:rPr>
        <w:t>4</w:t>
      </w:r>
      <w:r>
        <w:rPr>
          <w:rFonts w:hint="eastAsia" w:ascii="仿宋_GB2312" w:hAnsi="仿宋_GB2312" w:cs="仿宋_GB2312"/>
          <w:iCs/>
          <w:color w:val="auto"/>
          <w:sz w:val="32"/>
          <w:szCs w:val="32"/>
          <w:highlight w:val="none"/>
        </w:rPr>
        <w:t>个项目，进一步拆分、整合为</w:t>
      </w:r>
      <w:r>
        <w:rPr>
          <w:rFonts w:hint="eastAsia" w:ascii="仿宋_GB2312" w:hAnsi="仿宋_GB2312" w:cs="仿宋_GB2312"/>
          <w:iCs/>
          <w:color w:val="auto"/>
          <w:sz w:val="32"/>
          <w:szCs w:val="32"/>
          <w:highlight w:val="none"/>
          <w:lang w:val="en-US" w:eastAsia="zh-CN"/>
        </w:rPr>
        <w:t>27</w:t>
      </w:r>
      <w:r>
        <w:rPr>
          <w:rFonts w:hint="eastAsia" w:ascii="仿宋_GB2312" w:hAnsi="仿宋_GB2312" w:cs="仿宋_GB2312"/>
          <w:iCs/>
          <w:color w:val="auto"/>
          <w:sz w:val="32"/>
          <w:szCs w:val="32"/>
          <w:highlight w:val="none"/>
        </w:rPr>
        <w:t>个项目，由市经信局本级及北京市无线电监测站（以下简称“监测站”）执行，项目及预算情况如表1</w:t>
      </w:r>
      <w:r>
        <w:rPr>
          <w:rFonts w:hint="eastAsia" w:ascii="仿宋_GB2312" w:hAnsi="仿宋_GB2312" w:cs="仿宋_GB2312"/>
          <w:iCs/>
          <w:color w:val="auto"/>
          <w:sz w:val="32"/>
          <w:szCs w:val="32"/>
          <w:highlight w:val="none"/>
          <w:lang w:val="en-US" w:eastAsia="zh-CN"/>
        </w:rPr>
        <w:t>所示；上年结转资金项目情况详见表2</w:t>
      </w:r>
      <w:r>
        <w:rPr>
          <w:rFonts w:hint="eastAsia" w:ascii="仿宋_GB2312" w:hAnsi="仿宋_GB2312" w:cs="仿宋_GB2312"/>
          <w:iCs/>
          <w:color w:val="auto"/>
          <w:sz w:val="32"/>
          <w:szCs w:val="32"/>
          <w:highlight w:val="none"/>
        </w:rPr>
        <w:t>。</w:t>
      </w:r>
      <w:r>
        <w:rPr>
          <w:rFonts w:hint="eastAsia" w:ascii="仿宋_GB2312" w:hAnsi="仿宋_GB2312" w:cs="仿宋_GB2312"/>
          <w:iCs/>
          <w:color w:val="auto"/>
          <w:sz w:val="32"/>
          <w:szCs w:val="32"/>
          <w:highlight w:val="none"/>
        </w:rPr>
        <w:br w:type="page"/>
      </w:r>
    </w:p>
    <w:p>
      <w:pPr>
        <w:adjustRightInd w:val="0"/>
        <w:snapToGrid w:val="0"/>
        <w:spacing w:line="360" w:lineRule="auto"/>
        <w:jc w:val="center"/>
        <w:rPr>
          <w:rFonts w:ascii="黑体" w:hAnsi="黑体" w:eastAsia="黑体"/>
          <w:color w:val="auto"/>
          <w:kern w:val="0"/>
          <w:sz w:val="28"/>
          <w:szCs w:val="28"/>
          <w:highlight w:val="none"/>
        </w:rPr>
      </w:pPr>
      <w:r>
        <w:rPr>
          <w:rFonts w:hint="eastAsia" w:ascii="黑体" w:hAnsi="黑体" w:eastAsia="黑体"/>
          <w:color w:val="auto"/>
          <w:kern w:val="0"/>
          <w:sz w:val="28"/>
          <w:szCs w:val="28"/>
          <w:highlight w:val="none"/>
        </w:rPr>
        <w:t>表1：市经信局20</w:t>
      </w:r>
      <w:r>
        <w:rPr>
          <w:rFonts w:ascii="黑体" w:hAnsi="黑体" w:eastAsia="黑体"/>
          <w:color w:val="auto"/>
          <w:kern w:val="0"/>
          <w:sz w:val="28"/>
          <w:szCs w:val="28"/>
          <w:highlight w:val="none"/>
        </w:rPr>
        <w:t>2</w:t>
      </w:r>
      <w:r>
        <w:rPr>
          <w:rFonts w:hint="eastAsia" w:ascii="黑体" w:hAnsi="黑体" w:eastAsia="黑体"/>
          <w:color w:val="auto"/>
          <w:kern w:val="0"/>
          <w:sz w:val="28"/>
          <w:szCs w:val="28"/>
          <w:highlight w:val="none"/>
          <w:lang w:val="en-US" w:eastAsia="zh-CN"/>
        </w:rPr>
        <w:t>3</w:t>
      </w:r>
      <w:r>
        <w:rPr>
          <w:rFonts w:hint="eastAsia" w:ascii="黑体" w:hAnsi="黑体" w:eastAsia="黑体"/>
          <w:color w:val="auto"/>
          <w:kern w:val="0"/>
          <w:sz w:val="28"/>
          <w:szCs w:val="28"/>
          <w:highlight w:val="none"/>
        </w:rPr>
        <w:t>年度</w:t>
      </w:r>
      <w:r>
        <w:rPr>
          <w:rFonts w:hint="eastAsia" w:ascii="黑体" w:hAnsi="黑体" w:eastAsia="黑体"/>
          <w:color w:val="auto"/>
          <w:kern w:val="0"/>
          <w:sz w:val="28"/>
          <w:szCs w:val="28"/>
          <w:highlight w:val="none"/>
          <w:lang w:val="en-US" w:eastAsia="zh-CN"/>
        </w:rPr>
        <w:t>无线电管理经费</w:t>
      </w:r>
      <w:r>
        <w:rPr>
          <w:rFonts w:hint="eastAsia" w:ascii="黑体" w:hAnsi="黑体" w:eastAsia="黑体"/>
          <w:color w:val="auto"/>
          <w:kern w:val="0"/>
          <w:sz w:val="28"/>
          <w:szCs w:val="28"/>
          <w:highlight w:val="none"/>
        </w:rPr>
        <w:t>预算项目情况表</w:t>
      </w:r>
    </w:p>
    <w:bookmarkEnd w:id="30"/>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590"/>
        <w:gridCol w:w="2313"/>
        <w:gridCol w:w="4274"/>
        <w:gridCol w:w="842"/>
        <w:gridCol w:w="10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blHeader/>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bookmarkStart w:id="31" w:name="_Toc55475185"/>
            <w:bookmarkStart w:id="32" w:name="_Toc20572"/>
            <w:bookmarkStart w:id="33" w:name="_Toc11396"/>
            <w:bookmarkStart w:id="34" w:name="_Toc4742"/>
            <w:r>
              <w:rPr>
                <w:rStyle w:val="40"/>
                <w:rFonts w:hint="eastAsia" w:ascii="宋体" w:hAnsi="宋体" w:eastAsia="宋体" w:cs="宋体"/>
                <w:color w:val="auto"/>
                <w:sz w:val="20"/>
                <w:szCs w:val="20"/>
                <w:highlight w:val="none"/>
                <w:lang w:val="en-US" w:eastAsia="zh-CN" w:bidi="ar"/>
              </w:rPr>
              <w:t>序号</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报工信部项目</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进一步拆分、整合项目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Style w:val="40"/>
                <w:rFonts w:hint="eastAsia" w:ascii="宋体" w:hAnsi="宋体" w:eastAsia="宋体" w:cs="宋体"/>
                <w:color w:val="auto"/>
                <w:sz w:val="20"/>
                <w:szCs w:val="20"/>
                <w:highlight w:val="none"/>
                <w:lang w:val="en-US" w:eastAsia="zh-CN" w:bidi="ar"/>
              </w:rPr>
            </w:pPr>
            <w:r>
              <w:rPr>
                <w:rStyle w:val="40"/>
                <w:rFonts w:hint="eastAsia" w:ascii="宋体" w:hAnsi="宋体" w:eastAsia="宋体" w:cs="宋体"/>
                <w:color w:val="auto"/>
                <w:sz w:val="20"/>
                <w:szCs w:val="20"/>
                <w:highlight w:val="none"/>
                <w:lang w:val="en-US" w:eastAsia="zh-CN" w:bidi="ar"/>
              </w:rPr>
              <w:t>实施</w:t>
            </w:r>
          </w:p>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单位</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年度预算（万元）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5000" w:type="pct"/>
            <w:gridSpan w:val="5"/>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both"/>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一、基础和技术设施建设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固定监测站覆盖能力提升项目</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固定监测站覆盖能力提升项目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829.00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频谱资源动态分析与决策支撑项目</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频谱资源动态分析与决策支撑项目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422.00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无线电监测数据资源池融合分析项目</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无线电监测数据资源池融合分析项目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427.00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无线电安全保障管控能力提升项目</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无线电安全保障管控能力提升项目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320.00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4428" w:type="pct"/>
            <w:gridSpan w:val="4"/>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小计</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b/>
                <w:bCs/>
                <w:i w:val="0"/>
                <w:iCs w:val="0"/>
                <w:color w:val="auto"/>
                <w:sz w:val="20"/>
                <w:szCs w:val="20"/>
                <w:highlight w:val="none"/>
                <w:u w:val="none"/>
                <w:lang w:val="en-US"/>
              </w:rPr>
            </w:pPr>
            <w:r>
              <w:rPr>
                <w:rFonts w:hint="eastAsia" w:ascii="宋体" w:hAnsi="宋体" w:eastAsia="宋体" w:cs="宋体"/>
                <w:b/>
                <w:bCs/>
                <w:i w:val="0"/>
                <w:iCs w:val="0"/>
                <w:color w:val="auto"/>
                <w:kern w:val="0"/>
                <w:sz w:val="20"/>
                <w:szCs w:val="20"/>
                <w:highlight w:val="none"/>
                <w:u w:val="none"/>
                <w:lang w:val="en-US" w:eastAsia="zh-CN" w:bidi="ar"/>
              </w:rPr>
              <w:t>1998.00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5000" w:type="pct"/>
            <w:gridSpan w:val="5"/>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both"/>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二、运行维护支出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26"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1277"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技术设备</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监测分站机房租赁铁塔占地及物业费</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401.10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在用无线电监测设施测试验证服务</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45.00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监测网设施设备维修维护费</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128.90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网络租用费</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240.00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无线电管理特种车辆</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无线电监测专业车辆驾驶员聘用</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44.00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428" w:type="pct"/>
            <w:gridSpan w:val="4"/>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小计</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b/>
                <w:bCs/>
                <w:i w:val="0"/>
                <w:iCs w:val="0"/>
                <w:color w:val="auto"/>
                <w:sz w:val="20"/>
                <w:szCs w:val="20"/>
                <w:highlight w:val="none"/>
                <w:u w:val="none"/>
                <w:lang w:val="en-US"/>
              </w:rPr>
            </w:pPr>
            <w:r>
              <w:rPr>
                <w:rFonts w:hint="eastAsia" w:ascii="宋体" w:hAnsi="宋体" w:eastAsia="宋体" w:cs="宋体"/>
                <w:b/>
                <w:bCs/>
                <w:i w:val="0"/>
                <w:iCs w:val="0"/>
                <w:color w:val="auto"/>
                <w:kern w:val="0"/>
                <w:sz w:val="20"/>
                <w:szCs w:val="20"/>
                <w:highlight w:val="none"/>
                <w:u w:val="none"/>
                <w:lang w:val="en-US" w:eastAsia="zh-CN" w:bidi="ar"/>
              </w:rPr>
              <w:t>859.00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5000" w:type="pct"/>
            <w:gridSpan w:val="5"/>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both"/>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三、专项监管和其他支出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考试保障</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无线电考试保障专用设备租赁项目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36.00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无线电专业技术人员培训</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无线电监测技术演练支撑</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26.00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w:t>
            </w:r>
          </w:p>
        </w:tc>
        <w:tc>
          <w:tcPr>
            <w:tcW w:w="1277"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航空及铁路水上无线电频率保护经费</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航空铁路等无线电监测、检测业务频率保障费</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w:t>
            </w:r>
          </w:p>
        </w:tc>
        <w:tc>
          <w:tcPr>
            <w:tcW w:w="1277"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无线电监管设备或技术研究</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北京市无线电管理规划编制及评估支撑服务</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30.00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无线电监管设备或技术研究项目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61.00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11</w:t>
            </w:r>
          </w:p>
        </w:tc>
        <w:tc>
          <w:tcPr>
            <w:tcW w:w="1277"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重大活动无线电安全保障</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重大活动无线电安全保障支撑</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50.00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重大活动无线电安全保障</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44.00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12</w:t>
            </w:r>
          </w:p>
        </w:tc>
        <w:tc>
          <w:tcPr>
            <w:tcW w:w="1277"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其他事项支出</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频占费资金使用规范性常规性服务及绩效评价支撑</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35.00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内控手册维护</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default" w:ascii="宋体" w:hAnsi="宋体" w:eastAsia="宋体" w:cs="宋体"/>
                <w:i w:val="0"/>
                <w:iCs w:val="0"/>
                <w:color w:val="auto"/>
                <w:sz w:val="20"/>
                <w:szCs w:val="20"/>
                <w:highlight w:val="none"/>
                <w:u w:val="none"/>
                <w:lang w:val="en-US" w:eastAsia="zh-CN"/>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default" w:ascii="宋体" w:hAnsi="宋体" w:eastAsia="宋体" w:cs="宋体"/>
                <w:i w:val="0"/>
                <w:iCs w:val="0"/>
                <w:color w:val="auto"/>
                <w:sz w:val="20"/>
                <w:szCs w:val="20"/>
                <w:highlight w:val="none"/>
                <w:u w:val="none"/>
                <w:lang w:val="en-US" w:eastAsia="zh-CN"/>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无线电频占费资金绩效跟踪及频占费资金自查评估支撑项目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9.50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无线电监测检测业务档案梳理支撑</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9.00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无线电发射设备型号核准测试项目</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9289.00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13</w:t>
            </w:r>
          </w:p>
        </w:tc>
        <w:tc>
          <w:tcPr>
            <w:tcW w:w="1277"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无线电干扰查处</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无线电清理整顿、无线电设台筛查支撑服务</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42.00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无线电专项法律服务与保障</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35.00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无线电普法支撑服务</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30.00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无线电监测站无线电干扰查处经费</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64.00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14</w:t>
            </w:r>
          </w:p>
        </w:tc>
        <w:tc>
          <w:tcPr>
            <w:tcW w:w="1277" w:type="pct"/>
            <w:vMerge w:val="restar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无线电频率协调</w:t>
            </w: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北京市业余无线电台操作能力认证及台站管理支撑服务</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48.00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26"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1277" w:type="pct"/>
            <w:vMerge w:val="continue"/>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360"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无线电频率协调及台站管理支撑服务</w:t>
            </w:r>
          </w:p>
        </w:tc>
        <w:tc>
          <w:tcPr>
            <w:tcW w:w="463"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75.00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trPr>
        <w:tc>
          <w:tcPr>
            <w:tcW w:w="4428" w:type="pct"/>
            <w:gridSpan w:val="4"/>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小计</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b/>
                <w:bCs/>
                <w:i w:val="0"/>
                <w:iCs w:val="0"/>
                <w:color w:val="auto"/>
                <w:sz w:val="20"/>
                <w:szCs w:val="20"/>
                <w:highlight w:val="none"/>
                <w:u w:val="none"/>
                <w:lang w:val="en-US"/>
              </w:rPr>
            </w:pPr>
            <w:r>
              <w:rPr>
                <w:rFonts w:hint="eastAsia" w:ascii="宋体" w:hAnsi="宋体" w:eastAsia="宋体" w:cs="宋体"/>
                <w:b/>
                <w:bCs/>
                <w:i w:val="0"/>
                <w:iCs w:val="0"/>
                <w:color w:val="auto"/>
                <w:kern w:val="0"/>
                <w:sz w:val="20"/>
                <w:szCs w:val="20"/>
                <w:highlight w:val="none"/>
                <w:u w:val="none"/>
                <w:lang w:val="en-US" w:eastAsia="zh-CN" w:bidi="ar"/>
              </w:rPr>
              <w:t>9899.00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428" w:type="pct"/>
            <w:gridSpan w:val="4"/>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Style w:val="40"/>
                <w:rFonts w:hint="eastAsia" w:ascii="宋体" w:hAnsi="宋体" w:eastAsia="宋体" w:cs="宋体"/>
                <w:color w:val="auto"/>
                <w:sz w:val="20"/>
                <w:szCs w:val="20"/>
                <w:highlight w:val="none"/>
                <w:lang w:val="en-US" w:eastAsia="zh-CN" w:bidi="ar"/>
              </w:rPr>
              <w:t>合计</w:t>
            </w:r>
          </w:p>
        </w:tc>
        <w:tc>
          <w:tcPr>
            <w:tcW w:w="571"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b/>
                <w:bCs/>
                <w:i w:val="0"/>
                <w:iCs w:val="0"/>
                <w:color w:val="auto"/>
                <w:sz w:val="20"/>
                <w:szCs w:val="20"/>
                <w:highlight w:val="none"/>
                <w:u w:val="none"/>
                <w:lang w:val="en-US"/>
              </w:rPr>
            </w:pPr>
            <w:r>
              <w:rPr>
                <w:rFonts w:hint="eastAsia" w:ascii="宋体" w:hAnsi="宋体" w:eastAsia="宋体" w:cs="宋体"/>
                <w:b/>
                <w:bCs/>
                <w:i w:val="0"/>
                <w:iCs w:val="0"/>
                <w:color w:val="auto"/>
                <w:kern w:val="0"/>
                <w:sz w:val="20"/>
                <w:szCs w:val="20"/>
                <w:highlight w:val="none"/>
                <w:u w:val="none"/>
                <w:lang w:val="en-US" w:eastAsia="zh-CN" w:bidi="ar"/>
              </w:rPr>
              <w:t>12756.00</w:t>
            </w:r>
          </w:p>
        </w:tc>
      </w:tr>
    </w:tbl>
    <w:p>
      <w:pPr>
        <w:keepNext w:val="0"/>
        <w:keepLines w:val="0"/>
        <w:pageBreakBefore w:val="0"/>
        <w:widowControl w:val="0"/>
        <w:shd w:val="clear"/>
        <w:kinsoku/>
        <w:wordWrap/>
        <w:overflowPunct/>
        <w:topLinePunct w:val="0"/>
        <w:autoSpaceDE/>
        <w:autoSpaceDN/>
        <w:bidi w:val="0"/>
        <w:adjustRightInd w:val="0"/>
        <w:snapToGrid w:val="0"/>
        <w:spacing w:before="313" w:beforeLines="100" w:line="360" w:lineRule="auto"/>
        <w:jc w:val="center"/>
        <w:textAlignment w:val="auto"/>
        <w:rPr>
          <w:rFonts w:ascii="黑体" w:hAnsi="黑体" w:eastAsia="黑体"/>
          <w:color w:val="auto"/>
          <w:kern w:val="0"/>
          <w:sz w:val="28"/>
          <w:szCs w:val="28"/>
          <w:highlight w:val="none"/>
        </w:rPr>
      </w:pPr>
      <w:r>
        <w:rPr>
          <w:rFonts w:hint="eastAsia" w:ascii="黑体" w:hAnsi="黑体" w:eastAsia="黑体"/>
          <w:color w:val="auto"/>
          <w:kern w:val="0"/>
          <w:sz w:val="28"/>
          <w:szCs w:val="28"/>
          <w:highlight w:val="none"/>
        </w:rPr>
        <w:t>表</w:t>
      </w:r>
      <w:r>
        <w:rPr>
          <w:rFonts w:hint="eastAsia" w:ascii="黑体" w:hAnsi="黑体" w:eastAsia="黑体"/>
          <w:color w:val="auto"/>
          <w:kern w:val="0"/>
          <w:sz w:val="28"/>
          <w:szCs w:val="28"/>
          <w:highlight w:val="none"/>
          <w:lang w:val="en-US" w:eastAsia="zh-CN"/>
        </w:rPr>
        <w:t>2</w:t>
      </w:r>
      <w:r>
        <w:rPr>
          <w:rFonts w:hint="eastAsia" w:ascii="黑体" w:hAnsi="黑体" w:eastAsia="黑体"/>
          <w:color w:val="auto"/>
          <w:kern w:val="0"/>
          <w:sz w:val="28"/>
          <w:szCs w:val="28"/>
          <w:highlight w:val="none"/>
        </w:rPr>
        <w:t>：</w:t>
      </w:r>
      <w:r>
        <w:rPr>
          <w:rFonts w:hint="eastAsia" w:ascii="黑体" w:hAnsi="黑体" w:eastAsia="黑体"/>
          <w:color w:val="auto"/>
          <w:kern w:val="0"/>
          <w:sz w:val="28"/>
          <w:szCs w:val="28"/>
          <w:highlight w:val="none"/>
          <w:lang w:val="en-US" w:eastAsia="zh-CN"/>
        </w:rPr>
        <w:t>市经信局无线电管理经费上年结转预算项目</w:t>
      </w:r>
      <w:r>
        <w:rPr>
          <w:rFonts w:hint="eastAsia" w:ascii="黑体" w:hAnsi="黑体" w:eastAsia="黑体"/>
          <w:color w:val="auto"/>
          <w:kern w:val="0"/>
          <w:sz w:val="28"/>
          <w:szCs w:val="28"/>
          <w:highlight w:val="none"/>
        </w:rPr>
        <w:t>情况表</w:t>
      </w:r>
    </w:p>
    <w:tbl>
      <w:tblPr>
        <w:tblStyle w:val="16"/>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57"/>
        <w:gridCol w:w="6002"/>
        <w:gridCol w:w="875"/>
        <w:gridCol w:w="152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blHeader/>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序号</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项目名称</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单位</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上年结转资金（万元）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EFF2F7" w:fill="auto"/>
            <w:noWrap/>
            <w:vAlign w:val="center"/>
          </w:tcPr>
          <w:p>
            <w:pPr>
              <w:shd w:val="clear"/>
              <w:jc w:val="left"/>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一、基础和技术设施建设项目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北京市无线电管理一体化二期建设项目</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423.50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机动式无线电监测技术能力提升项目</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12.24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固定监测站升级改造项目</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692.70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无线电管理网络信息安全防护能力提升项目</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129.00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北京市智能化移动众包监测项目（一期）</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509.80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基于电波反射无人机监测系统建设项目</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97.92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便携式数字专网信号测试仪购置项目</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无线电频率台站审批技术支撑系统建设项目</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73.10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4160" w:type="pct"/>
            <w:gridSpan w:val="3"/>
            <w:tcBorders>
              <w:top w:val="single" w:color="000000" w:sz="4" w:space="0"/>
              <w:left w:val="single" w:color="000000" w:sz="4" w:space="0"/>
              <w:bottom w:val="single" w:color="000000" w:sz="4" w:space="0"/>
              <w:right w:val="single" w:color="000000" w:sz="4" w:space="0"/>
            </w:tcBorders>
            <w:shd w:val="clear" w:color="EFF2F7" w:fill="auto"/>
            <w:vAlign w:val="center"/>
          </w:tcPr>
          <w:p>
            <w:pPr>
              <w:shd w:val="clear"/>
              <w:jc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小计</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1958.26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EFF2F7" w:fill="auto"/>
            <w:noWrap/>
            <w:vAlign w:val="center"/>
          </w:tcPr>
          <w:p>
            <w:pPr>
              <w:shd w:val="clear"/>
              <w:jc w:val="left"/>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二、运行维护支出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无线电监测专业车辆驾驶员聘用</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监测网设施设备维修维护费</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196.46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11</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监测分站机房租赁铁塔占地及物业费</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24.85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监测网技术设施运维项目</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879.00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13</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网络租用费</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213.18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14</w:t>
            </w:r>
          </w:p>
        </w:tc>
        <w:tc>
          <w:tcPr>
            <w:tcW w:w="3314"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在用无线电监测设施测试验证服务</w:t>
            </w:r>
          </w:p>
        </w:tc>
        <w:tc>
          <w:tcPr>
            <w:tcW w:w="482"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4160" w:type="pct"/>
            <w:gridSpan w:val="3"/>
            <w:tcBorders>
              <w:top w:val="single" w:color="000000" w:sz="4" w:space="0"/>
              <w:left w:val="single" w:color="000000" w:sz="4" w:space="0"/>
              <w:bottom w:val="single" w:color="000000" w:sz="4" w:space="0"/>
              <w:right w:val="single" w:color="000000" w:sz="4" w:space="0"/>
            </w:tcBorders>
            <w:shd w:val="clear" w:color="EFF2F7" w:fill="auto"/>
            <w:vAlign w:val="center"/>
          </w:tcPr>
          <w:p>
            <w:pPr>
              <w:shd w:val="clear"/>
              <w:jc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小计</w:t>
            </w:r>
          </w:p>
        </w:tc>
        <w:tc>
          <w:tcPr>
            <w:tcW w:w="839" w:type="pct"/>
            <w:tcBorders>
              <w:top w:val="single" w:color="000000" w:sz="4" w:space="0"/>
              <w:left w:val="single" w:color="000000" w:sz="4" w:space="0"/>
              <w:bottom w:val="single" w:color="000000" w:sz="4" w:space="0"/>
              <w:right w:val="single" w:color="000000" w:sz="4" w:space="0"/>
            </w:tcBorders>
            <w:shd w:val="clear" w:color="EFF2F7"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1315.44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pPr>
              <w:shd w:val="clear"/>
              <w:jc w:val="left"/>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三、专项监管和其他支出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15</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航空铁路等无线电监测、检测业务频率保障费</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3.73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16</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无线电监测技术演练支撑</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0.90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17</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冬奥残奥会保障无线电监测设备租赁</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18</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重大活动无线电安全保障支撑服务</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23.00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《北京市无线电管理办法》立法支撑服务</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8.40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技术设施建设项目可行性研究报告编制及技术设施项目库维护</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21</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内控手册维护</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0.60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22</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无线电频占费资金绩效跟踪及频占费资金自查评估支撑项目</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0.32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23</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无线电监测检测业务档案梳理支撑</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24</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频占费资金使用规范性常规性服务及绩效评价支撑</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25</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无线电监测站无线电干扰查处经费</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监测站</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24.95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26</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无线电专项法律服务与保障</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27</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无线电安全在安全体系中的战略定位技术分析支撑服务</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28</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无线电清理整顿、无线电设台筛查支撑服务</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29</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北京市重点无线电业务频率使用及产业发展支撑服务</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30</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北京市业余无线电台操作能力认证及台站管理支撑服务</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0" w:hRule="atLeast"/>
        </w:trPr>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31</w:t>
            </w:r>
          </w:p>
        </w:tc>
        <w:tc>
          <w:tcPr>
            <w:tcW w:w="33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无线电发射设备型号核准测试项目</w:t>
            </w:r>
          </w:p>
        </w:tc>
        <w:tc>
          <w:tcPr>
            <w:tcW w:w="4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局本级</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1812.60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2" w:hRule="atLeast"/>
        </w:trPr>
        <w:tc>
          <w:tcPr>
            <w:tcW w:w="4160" w:type="pct"/>
            <w:gridSpan w:val="3"/>
            <w:tcBorders>
              <w:top w:val="single" w:color="000000" w:sz="4" w:space="0"/>
              <w:left w:val="single" w:color="000000" w:sz="4" w:space="0"/>
              <w:bottom w:val="single" w:color="000000" w:sz="4" w:space="0"/>
              <w:right w:val="nil"/>
            </w:tcBorders>
            <w:shd w:val="clear" w:color="auto" w:fill="auto"/>
            <w:vAlign w:val="center"/>
          </w:tcPr>
          <w:p>
            <w:pPr>
              <w:shd w:val="clear"/>
              <w:jc w:val="center"/>
              <w:rPr>
                <w:rFonts w:hint="eastAsia" w:ascii="等线" w:hAnsi="等线" w:eastAsia="等线" w:cs="等线"/>
                <w:i w:val="0"/>
                <w:iCs w:val="0"/>
                <w:color w:val="auto"/>
                <w:sz w:val="22"/>
                <w:szCs w:val="22"/>
                <w:highlight w:val="none"/>
                <w:u w:val="none"/>
              </w:rPr>
            </w:pPr>
            <w:r>
              <w:rPr>
                <w:rFonts w:hint="eastAsia" w:ascii="宋体" w:hAnsi="宋体" w:eastAsia="宋体" w:cs="宋体"/>
                <w:i w:val="0"/>
                <w:iCs w:val="0"/>
                <w:color w:val="auto"/>
                <w:kern w:val="0"/>
                <w:sz w:val="20"/>
                <w:szCs w:val="20"/>
                <w:highlight w:val="none"/>
                <w:u w:val="none"/>
                <w:lang w:val="en-US" w:eastAsia="zh-CN" w:bidi="ar"/>
              </w:rPr>
              <w:t>小计</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1916.04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4160"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shd w:val="clear"/>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合计</w:t>
            </w:r>
          </w:p>
        </w:tc>
        <w:tc>
          <w:tcPr>
            <w:tcW w:w="8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shd w:val="clear"/>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5189.74</w:t>
            </w:r>
          </w:p>
        </w:tc>
      </w:tr>
    </w:tbl>
    <w:p>
      <w:pPr>
        <w:pStyle w:val="3"/>
        <w:keepNext w:val="0"/>
        <w:keepLines w:val="0"/>
        <w:pageBreakBefore w:val="0"/>
        <w:widowControl w:val="0"/>
        <w:kinsoku/>
        <w:wordWrap/>
        <w:overflowPunct/>
        <w:topLinePunct w:val="0"/>
        <w:autoSpaceDE/>
        <w:autoSpaceDN/>
        <w:bidi w:val="0"/>
        <w:adjustRightInd w:val="0"/>
        <w:snapToGrid w:val="0"/>
        <w:spacing w:before="313" w:beforeLines="100" w:after="0" w:line="360" w:lineRule="auto"/>
        <w:ind w:firstLine="640" w:firstLineChars="200"/>
        <w:textAlignment w:val="auto"/>
        <w:rPr>
          <w:rFonts w:ascii="楷体_GB2312" w:hAnsi="等线" w:eastAsia="楷体_GB2312" w:cs="Times New Roman"/>
          <w:b w:val="0"/>
          <w:bCs w:val="0"/>
          <w:color w:val="auto"/>
          <w:highlight w:val="none"/>
        </w:rPr>
      </w:pPr>
      <w:bookmarkStart w:id="35" w:name="_Toc4822"/>
      <w:r>
        <w:rPr>
          <w:rFonts w:hint="eastAsia" w:ascii="楷体_GB2312" w:hAnsi="等线" w:eastAsia="楷体_GB2312" w:cs="Times New Roman"/>
          <w:b w:val="0"/>
          <w:bCs w:val="0"/>
          <w:color w:val="auto"/>
          <w:highlight w:val="none"/>
        </w:rPr>
        <w:t>（三）项目绩效目标</w:t>
      </w:r>
      <w:bookmarkEnd w:id="31"/>
      <w:r>
        <w:rPr>
          <w:rFonts w:hint="eastAsia" w:ascii="楷体_GB2312" w:hAnsi="等线" w:eastAsia="楷体_GB2312" w:cs="Times New Roman"/>
          <w:b w:val="0"/>
          <w:bCs w:val="0"/>
          <w:color w:val="auto"/>
          <w:highlight w:val="none"/>
        </w:rPr>
        <w:t>、绩效指标设定情况</w:t>
      </w:r>
      <w:bookmarkEnd w:id="32"/>
      <w:bookmarkEnd w:id="33"/>
      <w:bookmarkEnd w:id="34"/>
      <w:bookmarkEnd w:id="35"/>
    </w:p>
    <w:p>
      <w:pPr>
        <w:adjustRightInd w:val="0"/>
        <w:snapToGrid w:val="0"/>
        <w:spacing w:line="360" w:lineRule="auto"/>
        <w:ind w:firstLine="640" w:firstLineChars="200"/>
        <w:rPr>
          <w:rFonts w:hint="eastAsia"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按照</w:t>
      </w:r>
      <w:r>
        <w:rPr>
          <w:rFonts w:hint="eastAsia" w:ascii="仿宋_GB2312" w:hAnsi="仿宋_GB2312" w:cs="仿宋_GB2312"/>
          <w:color w:val="auto"/>
          <w:sz w:val="32"/>
          <w:szCs w:val="32"/>
          <w:highlight w:val="none"/>
          <w:lang w:eastAsia="zh-CN"/>
        </w:rPr>
        <w:t>《工业和信息化部无线电管理局关于做好2023年无线电管理经费使用计划报送工作的通知》（工无函〔2022〕243号）</w:t>
      </w:r>
      <w:r>
        <w:rPr>
          <w:rFonts w:hint="eastAsia" w:ascii="仿宋_GB2312" w:hAnsi="仿宋_GB2312" w:cs="仿宋_GB2312"/>
          <w:color w:val="auto"/>
          <w:sz w:val="32"/>
          <w:szCs w:val="32"/>
          <w:highlight w:val="none"/>
        </w:rPr>
        <w:t>要求，结合北京本地实际情况，针对整体</w:t>
      </w:r>
      <w:r>
        <w:rPr>
          <w:rFonts w:hint="eastAsia" w:ascii="仿宋_GB2312" w:hAnsi="仿宋_GB2312" w:cs="仿宋_GB2312"/>
          <w:color w:val="auto"/>
          <w:sz w:val="32"/>
          <w:szCs w:val="32"/>
          <w:highlight w:val="none"/>
          <w:lang w:val="en-US" w:eastAsia="zh-CN"/>
        </w:rPr>
        <w:t>无线电管理经费</w:t>
      </w:r>
      <w:r>
        <w:rPr>
          <w:rFonts w:hint="eastAsia" w:ascii="仿宋_GB2312" w:hAnsi="仿宋_GB2312" w:cs="仿宋_GB2312"/>
          <w:color w:val="auto"/>
          <w:sz w:val="32"/>
          <w:szCs w:val="32"/>
          <w:highlight w:val="none"/>
        </w:rPr>
        <w:t>资金执行效果，市经信局填写了《2023年频占费资金绩效目标表》</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节选部分指标值</w:t>
      </w:r>
      <w:r>
        <w:rPr>
          <w:rFonts w:hint="eastAsia" w:ascii="仿宋_GB2312" w:hAnsi="仿宋_GB2312" w:cs="仿宋_GB2312"/>
          <w:color w:val="auto"/>
          <w:sz w:val="32"/>
          <w:szCs w:val="32"/>
          <w:highlight w:val="none"/>
        </w:rPr>
        <w:t>，详见表</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eastAsia="zh"/>
        </w:rPr>
        <w:t>和《北京市2023年无线电发射设备型号核准资金绩效目标表》（详见表4）</w:t>
      </w:r>
      <w:r>
        <w:rPr>
          <w:rFonts w:hint="eastAsia" w:ascii="仿宋_GB2312" w:hAnsi="仿宋_GB2312" w:cs="仿宋_GB2312"/>
          <w:color w:val="auto"/>
          <w:sz w:val="32"/>
          <w:szCs w:val="32"/>
          <w:highlight w:val="none"/>
        </w:rPr>
        <w:t>。同时市经信局按照北京市</w:t>
      </w:r>
      <w:r>
        <w:rPr>
          <w:rFonts w:hint="eastAsia" w:ascii="仿宋_GB2312" w:hAnsi="仿宋_GB2312" w:cs="仿宋_GB2312"/>
          <w:color w:val="auto"/>
          <w:sz w:val="32"/>
          <w:szCs w:val="32"/>
          <w:highlight w:val="none"/>
          <w:lang w:val="en-US" w:eastAsia="zh-CN"/>
        </w:rPr>
        <w:t>预算</w:t>
      </w:r>
      <w:r>
        <w:rPr>
          <w:rFonts w:hint="eastAsia" w:ascii="仿宋_GB2312" w:hAnsi="仿宋_GB2312" w:cs="仿宋_GB2312"/>
          <w:color w:val="auto"/>
          <w:sz w:val="32"/>
          <w:szCs w:val="32"/>
          <w:highlight w:val="none"/>
        </w:rPr>
        <w:t>绩效管理要求制定了各子项目绩效目标，并进一步细化为产出指标</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效益指标</w:t>
      </w:r>
      <w:r>
        <w:rPr>
          <w:rFonts w:hint="eastAsia" w:ascii="仿宋_GB2312" w:hAnsi="仿宋_GB2312" w:cs="仿宋_GB2312"/>
          <w:color w:val="auto"/>
          <w:sz w:val="32"/>
          <w:szCs w:val="32"/>
          <w:highlight w:val="none"/>
          <w:lang w:val="en-US" w:eastAsia="zh-CN"/>
        </w:rPr>
        <w:t>和满意度指标</w:t>
      </w:r>
      <w:r>
        <w:rPr>
          <w:rFonts w:hint="eastAsia" w:ascii="仿宋_GB2312" w:hAnsi="仿宋_GB2312" w:cs="仿宋_GB2312"/>
          <w:color w:val="auto"/>
          <w:sz w:val="32"/>
          <w:szCs w:val="32"/>
          <w:highlight w:val="none"/>
        </w:rPr>
        <w:t>，如</w:t>
      </w:r>
      <w:r>
        <w:rPr>
          <w:rFonts w:hint="eastAsia" w:ascii="仿宋_GB2312" w:hAnsi="仿宋_GB2312" w:cs="仿宋_GB2312"/>
          <w:color w:val="auto"/>
          <w:sz w:val="32"/>
          <w:szCs w:val="32"/>
          <w:highlight w:val="none"/>
          <w:lang w:val="en-US" w:eastAsia="zh-CN"/>
        </w:rPr>
        <w:t>在用无线电监测设施测试验证服务</w:t>
      </w:r>
      <w:r>
        <w:rPr>
          <w:rFonts w:hint="eastAsia" w:ascii="仿宋_GB2312" w:hAnsi="仿宋_GB2312" w:cs="仿宋_GB2312"/>
          <w:color w:val="auto"/>
          <w:sz w:val="32"/>
          <w:szCs w:val="32"/>
          <w:highlight w:val="none"/>
        </w:rPr>
        <w:t>项目，详见表</w:t>
      </w:r>
      <w:r>
        <w:rPr>
          <w:rFonts w:hint="eastAsia" w:ascii="仿宋_GB2312" w:hAnsi="仿宋_GB2312" w:cs="仿宋_GB2312"/>
          <w:color w:val="auto"/>
          <w:sz w:val="32"/>
          <w:szCs w:val="32"/>
          <w:highlight w:val="none"/>
          <w:lang w:val="en-US" w:eastAsia="zh-CN"/>
        </w:rPr>
        <w:t>5</w:t>
      </w:r>
      <w:r>
        <w:rPr>
          <w:rFonts w:hint="eastAsia" w:ascii="仿宋_GB2312" w:hAnsi="仿宋_GB2312" w:cs="仿宋_GB2312"/>
          <w:color w:val="auto"/>
          <w:sz w:val="32"/>
          <w:szCs w:val="32"/>
          <w:highlight w:val="none"/>
        </w:rPr>
        <w:t>。</w:t>
      </w:r>
    </w:p>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仿宋_GB2312" w:hAnsi="仿宋_GB2312" w:cs="仿宋_GB2312"/>
          <w:color w:val="auto"/>
          <w:sz w:val="32"/>
          <w:szCs w:val="32"/>
          <w:highlight w:val="none"/>
        </w:rPr>
      </w:pPr>
      <w:r>
        <w:rPr>
          <w:rFonts w:hint="eastAsia" w:ascii="黑体" w:hAnsi="黑体" w:eastAsia="黑体"/>
          <w:color w:val="auto"/>
          <w:kern w:val="0"/>
          <w:sz w:val="28"/>
          <w:szCs w:val="28"/>
          <w:highlight w:val="none"/>
        </w:rPr>
        <w:t>表</w:t>
      </w:r>
      <w:r>
        <w:rPr>
          <w:rFonts w:hint="eastAsia" w:ascii="黑体" w:hAnsi="黑体" w:eastAsia="黑体"/>
          <w:color w:val="auto"/>
          <w:kern w:val="0"/>
          <w:sz w:val="28"/>
          <w:szCs w:val="28"/>
          <w:highlight w:val="none"/>
          <w:lang w:val="en-US" w:eastAsia="zh-CN"/>
        </w:rPr>
        <w:t>3</w:t>
      </w:r>
      <w:r>
        <w:rPr>
          <w:rFonts w:hint="eastAsia" w:ascii="黑体" w:hAnsi="黑体" w:eastAsia="黑体"/>
          <w:color w:val="auto"/>
          <w:kern w:val="0"/>
          <w:sz w:val="28"/>
          <w:szCs w:val="28"/>
          <w:highlight w:val="none"/>
        </w:rPr>
        <w:t>：2023年频占费资金绩效目标表</w:t>
      </w:r>
      <w:r>
        <w:rPr>
          <w:rFonts w:hint="eastAsia" w:ascii="黑体" w:hAnsi="黑体" w:eastAsia="黑体"/>
          <w:color w:val="auto"/>
          <w:kern w:val="0"/>
          <w:sz w:val="28"/>
          <w:szCs w:val="28"/>
          <w:highlight w:val="none"/>
          <w:lang w:eastAsia="zh-CN"/>
        </w:rPr>
        <w:t>（</w:t>
      </w:r>
      <w:r>
        <w:rPr>
          <w:rFonts w:hint="eastAsia" w:ascii="黑体" w:hAnsi="黑体" w:eastAsia="黑体"/>
          <w:color w:val="auto"/>
          <w:kern w:val="0"/>
          <w:sz w:val="28"/>
          <w:szCs w:val="28"/>
          <w:highlight w:val="none"/>
          <w:lang w:val="en-US" w:eastAsia="zh-CN"/>
        </w:rPr>
        <w:t>节选</w:t>
      </w:r>
      <w:r>
        <w:rPr>
          <w:rFonts w:hint="eastAsia" w:ascii="黑体" w:hAnsi="黑体" w:eastAsia="黑体"/>
          <w:color w:val="auto"/>
          <w:kern w:val="0"/>
          <w:sz w:val="28"/>
          <w:szCs w:val="28"/>
          <w:highlight w:val="none"/>
          <w:lang w:eastAsia="zh-CN"/>
        </w:rPr>
        <w:t>）</w:t>
      </w:r>
    </w:p>
    <w:tbl>
      <w:tblPr>
        <w:tblStyle w:val="16"/>
        <w:tblW w:w="486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129"/>
        <w:gridCol w:w="1176"/>
        <w:gridCol w:w="12"/>
        <w:gridCol w:w="5174"/>
        <w:gridCol w:w="13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PrEx>
        <w:trPr>
          <w:trHeight w:val="397" w:hRule="atLeast"/>
          <w:tblHeader/>
          <w:jc w:val="center"/>
        </w:trPr>
        <w:tc>
          <w:tcPr>
            <w:tcW w:w="639"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一级指标</w:t>
            </w:r>
          </w:p>
        </w:tc>
        <w:tc>
          <w:tcPr>
            <w:tcW w:w="66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二级指标</w:t>
            </w:r>
          </w:p>
        </w:tc>
        <w:tc>
          <w:tcPr>
            <w:tcW w:w="2938" w:type="pct"/>
            <w:gridSpan w:val="2"/>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三级指标</w:t>
            </w:r>
          </w:p>
        </w:tc>
        <w:tc>
          <w:tcPr>
            <w:tcW w:w="75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指标值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restar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产出指标</w:t>
            </w:r>
          </w:p>
        </w:tc>
        <w:tc>
          <w:tcPr>
            <w:tcW w:w="666" w:type="pct"/>
            <w:vMerge w:val="restar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产出数量</w:t>
            </w: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完成建设项目</w:t>
            </w:r>
          </w:p>
        </w:tc>
        <w:tc>
          <w:tcPr>
            <w:tcW w:w="75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both"/>
              <w:textAlignment w:val="center"/>
              <w:rPr>
                <w:rFonts w:hint="default"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印制无线电频率使用许可证、无线电台执照</w:t>
            </w:r>
          </w:p>
        </w:tc>
        <w:tc>
          <w:tcPr>
            <w:tcW w:w="75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32200本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完成北京市公众移动通信系统无线电频率使用率评价数据及指标计算结果</w:t>
            </w:r>
          </w:p>
        </w:tc>
        <w:tc>
          <w:tcPr>
            <w:tcW w:w="75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完成北京市民用机场电磁环境保护区划定建议书</w:t>
            </w:r>
          </w:p>
        </w:tc>
        <w:tc>
          <w:tcPr>
            <w:tcW w:w="754"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restar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产出质量</w:t>
            </w: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建设项目质量达标率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无线电监测设施完好率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运维报告合格率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设备及软件正常运转率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restar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产出时效</w:t>
            </w: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建设项目建设进度符合项目申报书要求</w:t>
            </w:r>
          </w:p>
        </w:tc>
        <w:tc>
          <w:tcPr>
            <w:tcW w:w="754" w:type="pct"/>
            <w:shd w:val="clear" w:color="auto" w:fill="auto"/>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lang w:val="en-US" w:eastAsia="zh-CN"/>
              </w:rPr>
            </w:pPr>
            <w:r>
              <w:rPr>
                <w:rFonts w:hint="eastAsia" w:ascii="宋体" w:hAnsi="宋体" w:eastAsia="宋体" w:cs="宋体"/>
                <w:i w:val="0"/>
                <w:iCs w:val="0"/>
                <w:color w:val="auto"/>
                <w:sz w:val="20"/>
                <w:szCs w:val="20"/>
                <w:highlight w:val="none"/>
                <w:u w:val="none"/>
                <w:lang w:val="en-US" w:eastAsia="zh-CN"/>
              </w:rPr>
              <w:t>符合要求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维修后质保期</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巡检计划完成与目标差异率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产出成本</w:t>
            </w: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建设成本控制率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val="0"/>
                <w:bCs w:val="0"/>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restart"/>
            <w:shd w:val="clear" w:color="auto" w:fill="auto"/>
            <w:noWrap/>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lang w:eastAsia="zh"/>
              </w:rPr>
            </w:pPr>
            <w:r>
              <w:rPr>
                <w:rFonts w:hint="eastAsia" w:ascii="宋体" w:hAnsi="宋体" w:eastAsia="宋体" w:cs="宋体"/>
                <w:i w:val="0"/>
                <w:iCs w:val="0"/>
                <w:color w:val="auto"/>
                <w:kern w:val="0"/>
                <w:sz w:val="20"/>
                <w:szCs w:val="20"/>
                <w:highlight w:val="none"/>
                <w:u w:val="none"/>
                <w:lang w:val="en-US" w:eastAsia="zh-CN" w:bidi="ar"/>
              </w:rPr>
              <w:t>效益</w:t>
            </w:r>
            <w:r>
              <w:rPr>
                <w:rFonts w:hint="eastAsia" w:ascii="宋体" w:hAnsi="宋体" w:eastAsia="宋体" w:cs="宋体"/>
                <w:i w:val="0"/>
                <w:iCs w:val="0"/>
                <w:color w:val="auto"/>
                <w:kern w:val="0"/>
                <w:sz w:val="20"/>
                <w:szCs w:val="20"/>
                <w:highlight w:val="none"/>
                <w:u w:val="none"/>
                <w:lang w:val="en-US" w:eastAsia="zh" w:bidi="ar"/>
              </w:rPr>
              <w:t>指标</w:t>
            </w:r>
          </w:p>
        </w:tc>
        <w:tc>
          <w:tcPr>
            <w:tcW w:w="666" w:type="pct"/>
            <w:vMerge w:val="restar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社会效益</w:t>
            </w: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业余无线电爱好者技术水平</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得到提升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北京市公众移动通信频率使用率情况</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得到掌握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无线电管治能力提升率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66"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8" w:type="pct"/>
            <w:gridSpan w:val="2"/>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无线电安全防护能力提升率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73" w:type="pct"/>
            <w:gridSpan w:val="2"/>
            <w:vMerge w:val="restar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经济效益</w:t>
            </w: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业余无线电交流活动场次不断增加，活动形式丰富多样，公众了解程度提升</w:t>
            </w:r>
          </w:p>
        </w:tc>
        <w:tc>
          <w:tcPr>
            <w:tcW w:w="754" w:type="pct"/>
            <w:shd w:val="clear" w:color="auto" w:fill="auto"/>
            <w:vAlign w:val="center"/>
          </w:tcPr>
          <w:p>
            <w:pPr>
              <w:keepNext w:val="0"/>
              <w:keepLines w:val="0"/>
              <w:pageBreakBefore w:val="0"/>
              <w:kinsoku/>
              <w:wordWrap/>
              <w:overflowPunct/>
              <w:topLinePunct w:val="0"/>
              <w:autoSpaceDE/>
              <w:autoSpaceDN/>
              <w:bidi w:val="0"/>
              <w:adjustRightInd w:val="0"/>
              <w:snapToGrid w:val="0"/>
              <w:jc w:val="center"/>
              <w:rPr>
                <w:rFonts w:hint="default" w:ascii="宋体" w:hAnsi="宋体" w:eastAsia="宋体" w:cs="宋体"/>
                <w:i w:val="0"/>
                <w:iCs w:val="0"/>
                <w:color w:val="auto"/>
                <w:sz w:val="20"/>
                <w:szCs w:val="20"/>
                <w:highlight w:val="none"/>
                <w:u w:val="none"/>
                <w:lang w:val="en-US" w:eastAsia="zh-CN"/>
              </w:rPr>
            </w:pPr>
            <w:r>
              <w:rPr>
                <w:rFonts w:hint="eastAsia" w:ascii="宋体" w:hAnsi="宋体" w:eastAsia="宋体" w:cs="宋体"/>
                <w:i w:val="0"/>
                <w:iCs w:val="0"/>
                <w:color w:val="auto"/>
                <w:sz w:val="20"/>
                <w:szCs w:val="20"/>
                <w:highlight w:val="none"/>
                <w:u w:val="none"/>
                <w:lang w:val="en-US" w:eastAsia="zh-CN"/>
              </w:rPr>
              <w:t>得到提升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73" w:type="pct"/>
            <w:gridSpan w:val="2"/>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提升北京地区航班安全飞行可靠性</w:t>
            </w:r>
          </w:p>
        </w:tc>
        <w:tc>
          <w:tcPr>
            <w:tcW w:w="754" w:type="pct"/>
            <w:shd w:val="clear" w:color="auto" w:fill="auto"/>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lang w:eastAsia="zh-CN"/>
              </w:rPr>
            </w:pPr>
            <w:r>
              <w:rPr>
                <w:rFonts w:hint="eastAsia" w:ascii="宋体" w:hAnsi="宋体" w:eastAsia="宋体" w:cs="宋体"/>
                <w:i w:val="0"/>
                <w:iCs w:val="0"/>
                <w:color w:val="auto"/>
                <w:sz w:val="20"/>
                <w:szCs w:val="20"/>
                <w:highlight w:val="none"/>
                <w:u w:val="none"/>
                <w:lang w:val="en-US" w:eastAsia="zh-CN"/>
              </w:rPr>
              <w:t>得到提升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73" w:type="pct"/>
            <w:gridSpan w:val="2"/>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有效促进本地区无线经济发展</w:t>
            </w:r>
          </w:p>
        </w:tc>
        <w:tc>
          <w:tcPr>
            <w:tcW w:w="754" w:type="pct"/>
            <w:shd w:val="clear" w:color="auto" w:fill="auto"/>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lang w:eastAsia="zh-CN"/>
              </w:rPr>
            </w:pPr>
            <w:r>
              <w:rPr>
                <w:rFonts w:hint="eastAsia" w:ascii="宋体" w:hAnsi="宋体" w:eastAsia="宋体" w:cs="宋体"/>
                <w:i w:val="0"/>
                <w:iCs w:val="0"/>
                <w:color w:val="auto"/>
                <w:sz w:val="20"/>
                <w:szCs w:val="20"/>
                <w:highlight w:val="none"/>
                <w:u w:val="none"/>
                <w:lang w:val="en-US" w:eastAsia="zh-CN"/>
              </w:rPr>
              <w:t>有效促进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73" w:type="pct"/>
            <w:gridSpan w:val="2"/>
            <w:vMerge w:val="restart"/>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可持续影响</w:t>
            </w: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便携设备使用率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≥70次/年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73" w:type="pct"/>
            <w:gridSpan w:val="2"/>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监测车使用率</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73" w:type="pct"/>
            <w:gridSpan w:val="2"/>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行政执法水平</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不断提升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673" w:type="pct"/>
            <w:gridSpan w:val="2"/>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组织技术人员技术演练次数</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lang w:val="en-US" w:eastAsia="zh-CN"/>
              </w:rPr>
            </w:pPr>
          </w:p>
        </w:tc>
        <w:tc>
          <w:tcPr>
            <w:tcW w:w="673" w:type="pct"/>
            <w:gridSpan w:val="2"/>
            <w:vMerge w:val="continue"/>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lang w:val="en-US" w:eastAsia="zh-CN"/>
              </w:rPr>
            </w:pP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组织技术人员培训人次</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≥120人次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39" w:type="pct"/>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lang w:eastAsia="zh"/>
              </w:rPr>
            </w:pPr>
            <w:r>
              <w:rPr>
                <w:rFonts w:hint="eastAsia" w:ascii="宋体" w:hAnsi="宋体" w:eastAsia="宋体" w:cs="宋体"/>
                <w:i w:val="0"/>
                <w:iCs w:val="0"/>
                <w:color w:val="auto"/>
                <w:sz w:val="20"/>
                <w:szCs w:val="20"/>
                <w:highlight w:val="none"/>
                <w:u w:val="none"/>
                <w:lang w:eastAsia="zh"/>
              </w:rPr>
              <w:t>满意度</w:t>
            </w:r>
          </w:p>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lang w:eastAsia="zh"/>
              </w:rPr>
            </w:pPr>
            <w:r>
              <w:rPr>
                <w:rFonts w:hint="eastAsia" w:ascii="宋体" w:hAnsi="宋体" w:eastAsia="宋体" w:cs="宋体"/>
                <w:i w:val="0"/>
                <w:iCs w:val="0"/>
                <w:color w:val="auto"/>
                <w:sz w:val="20"/>
                <w:szCs w:val="20"/>
                <w:highlight w:val="none"/>
                <w:u w:val="none"/>
                <w:lang w:eastAsia="zh"/>
              </w:rPr>
              <w:t>指标</w:t>
            </w:r>
          </w:p>
        </w:tc>
        <w:tc>
          <w:tcPr>
            <w:tcW w:w="673" w:type="pct"/>
            <w:gridSpan w:val="2"/>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满意度</w:t>
            </w:r>
          </w:p>
        </w:tc>
        <w:tc>
          <w:tcPr>
            <w:tcW w:w="2932"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国家无线电管理机构、北京市各级部门、民航等相关单位、业余无线电爱好者等满意度</w:t>
            </w:r>
          </w:p>
        </w:tc>
        <w:tc>
          <w:tcPr>
            <w:tcW w:w="754"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≥90</w:t>
            </w:r>
            <w:r>
              <w:rPr>
                <w:rFonts w:hint="eastAsia" w:ascii="宋体" w:hAnsi="宋体" w:eastAsia="宋体" w:cs="宋体"/>
                <w:i w:val="0"/>
                <w:iCs w:val="0"/>
                <w:color w:val="auto"/>
                <w:kern w:val="0"/>
                <w:sz w:val="22"/>
                <w:szCs w:val="22"/>
                <w:highlight w:val="none"/>
                <w:u w:val="none"/>
                <w:lang w:val="en-US" w:eastAsia="zh-CN" w:bidi="ar"/>
              </w:rPr>
              <w:t>%</w:t>
            </w:r>
          </w:p>
        </w:tc>
      </w:tr>
    </w:tbl>
    <w:p>
      <w:pPr>
        <w:keepNext w:val="0"/>
        <w:keepLines w:val="0"/>
        <w:pageBreakBefore w:val="0"/>
        <w:widowControl w:val="0"/>
        <w:kinsoku/>
        <w:wordWrap/>
        <w:overflowPunct/>
        <w:topLinePunct w:val="0"/>
        <w:autoSpaceDE/>
        <w:autoSpaceDN/>
        <w:bidi w:val="0"/>
        <w:adjustRightInd w:val="0"/>
        <w:snapToGrid w:val="0"/>
        <w:spacing w:before="313" w:beforeLines="100" w:line="360" w:lineRule="auto"/>
        <w:jc w:val="center"/>
        <w:textAlignment w:val="auto"/>
        <w:rPr>
          <w:rFonts w:hint="eastAsia" w:ascii="黑体" w:hAnsi="黑体" w:eastAsia="黑体"/>
          <w:color w:val="auto"/>
          <w:kern w:val="0"/>
          <w:sz w:val="28"/>
          <w:szCs w:val="28"/>
          <w:highlight w:val="none"/>
        </w:rPr>
      </w:pPr>
    </w:p>
    <w:p>
      <w:pPr>
        <w:keepNext w:val="0"/>
        <w:keepLines w:val="0"/>
        <w:pageBreakBefore w:val="0"/>
        <w:widowControl w:val="0"/>
        <w:kinsoku/>
        <w:wordWrap/>
        <w:overflowPunct/>
        <w:topLinePunct w:val="0"/>
        <w:autoSpaceDE/>
        <w:autoSpaceDN/>
        <w:bidi w:val="0"/>
        <w:adjustRightInd w:val="0"/>
        <w:snapToGrid w:val="0"/>
        <w:spacing w:before="313" w:beforeLines="100" w:line="360" w:lineRule="auto"/>
        <w:jc w:val="center"/>
        <w:textAlignment w:val="auto"/>
        <w:rPr>
          <w:rFonts w:hint="eastAsia" w:ascii="黑体" w:hAnsi="黑体" w:eastAsia="黑体"/>
          <w:color w:val="auto"/>
          <w:kern w:val="0"/>
          <w:sz w:val="28"/>
          <w:szCs w:val="28"/>
          <w:highlight w:val="none"/>
        </w:rPr>
      </w:pPr>
      <w:r>
        <w:rPr>
          <w:rFonts w:hint="eastAsia" w:ascii="黑体" w:hAnsi="黑体" w:eastAsia="黑体"/>
          <w:color w:val="auto"/>
          <w:kern w:val="0"/>
          <w:sz w:val="28"/>
          <w:szCs w:val="28"/>
          <w:highlight w:val="none"/>
        </w:rPr>
        <w:t>表</w:t>
      </w:r>
      <w:r>
        <w:rPr>
          <w:rFonts w:hint="eastAsia" w:ascii="黑体" w:hAnsi="黑体" w:eastAsia="黑体"/>
          <w:color w:val="auto"/>
          <w:kern w:val="0"/>
          <w:sz w:val="28"/>
          <w:szCs w:val="28"/>
          <w:highlight w:val="none"/>
          <w:lang w:val="en-US" w:eastAsia="zh-CN"/>
        </w:rPr>
        <w:t>4</w:t>
      </w:r>
      <w:r>
        <w:rPr>
          <w:rFonts w:hint="eastAsia" w:ascii="黑体" w:hAnsi="黑体" w:eastAsia="黑体"/>
          <w:color w:val="auto"/>
          <w:kern w:val="0"/>
          <w:sz w:val="28"/>
          <w:szCs w:val="28"/>
          <w:highlight w:val="none"/>
        </w:rPr>
        <w:t>：</w:t>
      </w:r>
      <w:r>
        <w:rPr>
          <w:rFonts w:hint="eastAsia" w:ascii="黑体" w:hAnsi="黑体" w:eastAsia="黑体" w:cs="Times New Roman"/>
          <w:color w:val="auto"/>
          <w:kern w:val="0"/>
          <w:sz w:val="28"/>
          <w:szCs w:val="28"/>
          <w:highlight w:val="none"/>
          <w:lang w:eastAsia="zh"/>
        </w:rPr>
        <w:t>北京市2023年无线电发射设备型号核准资金绩效目标表</w:t>
      </w:r>
    </w:p>
    <w:tbl>
      <w:tblPr>
        <w:tblStyle w:val="16"/>
        <w:tblW w:w="4839"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476"/>
        <w:gridCol w:w="1706"/>
        <w:gridCol w:w="3642"/>
        <w:gridCol w:w="194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0" w:hRule="atLeast"/>
          <w:tblHeader/>
          <w:jc w:val="center"/>
        </w:trPr>
        <w:tc>
          <w:tcPr>
            <w:tcW w:w="84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一级指标</w:t>
            </w:r>
          </w:p>
        </w:tc>
        <w:tc>
          <w:tcPr>
            <w:tcW w:w="9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二级指标</w:t>
            </w: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三级指标</w:t>
            </w:r>
          </w:p>
        </w:tc>
        <w:tc>
          <w:tcPr>
            <w:tcW w:w="11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指标值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jc w:val="center"/>
        </w:trPr>
        <w:tc>
          <w:tcPr>
            <w:tcW w:w="841"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lang w:eastAsia="zh"/>
              </w:rPr>
            </w:pPr>
            <w:r>
              <w:rPr>
                <w:rFonts w:hint="eastAsia" w:ascii="宋体" w:hAnsi="宋体" w:eastAsia="宋体" w:cs="宋体"/>
                <w:i w:val="0"/>
                <w:iCs w:val="0"/>
                <w:color w:val="auto"/>
                <w:kern w:val="0"/>
                <w:sz w:val="20"/>
                <w:szCs w:val="20"/>
                <w:highlight w:val="none"/>
                <w:u w:val="none"/>
                <w:lang w:val="en-US" w:eastAsia="zh-CN" w:bidi="ar"/>
              </w:rPr>
              <w:t>产出</w:t>
            </w:r>
            <w:r>
              <w:rPr>
                <w:rFonts w:hint="eastAsia" w:ascii="宋体" w:hAnsi="宋体" w:eastAsia="宋体" w:cs="宋体"/>
                <w:i w:val="0"/>
                <w:iCs w:val="0"/>
                <w:color w:val="auto"/>
                <w:kern w:val="0"/>
                <w:sz w:val="20"/>
                <w:szCs w:val="20"/>
                <w:highlight w:val="none"/>
                <w:u w:val="none"/>
                <w:lang w:val="en-US" w:eastAsia="zh" w:bidi="ar"/>
              </w:rPr>
              <w:t>指标</w:t>
            </w:r>
          </w:p>
        </w:tc>
        <w:tc>
          <w:tcPr>
            <w:tcW w:w="972"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产出数量</w:t>
            </w: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委托型号核准测试数量</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≥1905</w:t>
            </w:r>
            <w:r>
              <w:rPr>
                <w:rFonts w:hint="eastAsia" w:ascii="宋体" w:hAnsi="宋体" w:eastAsia="宋体" w:cs="宋体"/>
                <w:i w:val="0"/>
                <w:iCs w:val="0"/>
                <w:color w:val="auto"/>
                <w:kern w:val="0"/>
                <w:sz w:val="20"/>
                <w:szCs w:val="20"/>
                <w:highlight w:val="none"/>
                <w:u w:val="none"/>
                <w:lang w:val="en-US" w:eastAsia="zh" w:bidi="ar"/>
              </w:rPr>
              <w:t>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jc w:val="center"/>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完成型号核准测试数量</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lang w:eastAsia="zh"/>
              </w:rPr>
            </w:pPr>
            <w:r>
              <w:rPr>
                <w:rFonts w:hint="eastAsia" w:ascii="宋体" w:hAnsi="宋体" w:eastAsia="宋体" w:cs="宋体"/>
                <w:i w:val="0"/>
                <w:iCs w:val="0"/>
                <w:color w:val="auto"/>
                <w:kern w:val="0"/>
                <w:sz w:val="20"/>
                <w:szCs w:val="20"/>
                <w:highlight w:val="none"/>
                <w:u w:val="none"/>
                <w:lang w:val="en-US" w:eastAsia="zh-CN" w:bidi="ar"/>
              </w:rPr>
              <w:t>≥</w:t>
            </w:r>
            <w:r>
              <w:rPr>
                <w:rFonts w:hint="eastAsia" w:ascii="宋体" w:hAnsi="宋体" w:eastAsia="宋体" w:cs="宋体"/>
                <w:i w:val="0"/>
                <w:iCs w:val="0"/>
                <w:color w:val="auto"/>
                <w:sz w:val="20"/>
                <w:szCs w:val="20"/>
                <w:highlight w:val="none"/>
                <w:u w:val="none"/>
                <w:lang w:eastAsia="zh"/>
              </w:rPr>
              <w:t>1905</w:t>
            </w:r>
            <w:r>
              <w:rPr>
                <w:rFonts w:hint="eastAsia" w:ascii="宋体" w:hAnsi="宋体" w:eastAsia="宋体" w:cs="宋体"/>
                <w:i w:val="0"/>
                <w:iCs w:val="0"/>
                <w:color w:val="auto"/>
                <w:kern w:val="0"/>
                <w:sz w:val="20"/>
                <w:szCs w:val="20"/>
                <w:highlight w:val="none"/>
                <w:u w:val="none"/>
                <w:lang w:val="en-US" w:eastAsia="zh" w:bidi="ar"/>
              </w:rPr>
              <w:t>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jc w:val="center"/>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服务企业数量</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≥920家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jc w:val="center"/>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抽检设备数量</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≥57</w:t>
            </w:r>
            <w:r>
              <w:rPr>
                <w:rFonts w:hint="eastAsia" w:ascii="宋体" w:hAnsi="宋体" w:eastAsia="宋体" w:cs="宋体"/>
                <w:i w:val="0"/>
                <w:iCs w:val="0"/>
                <w:color w:val="auto"/>
                <w:kern w:val="0"/>
                <w:sz w:val="20"/>
                <w:szCs w:val="20"/>
                <w:highlight w:val="none"/>
                <w:u w:val="none"/>
                <w:lang w:val="en-US" w:eastAsia="zh" w:bidi="ar"/>
              </w:rPr>
              <w:t>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抽检设备种类</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产出质量</w:t>
            </w: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测试报告合格率</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申诉处理率</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jc w:val="center"/>
        </w:trPr>
        <w:tc>
          <w:tcPr>
            <w:tcW w:w="841" w:type="pct"/>
            <w:vMerge w:val="continue"/>
            <w:tcBorders>
              <w:top w:val="single" w:color="000000" w:sz="4" w:space="0"/>
              <w:left w:val="single" w:color="000000" w:sz="4" w:space="0"/>
              <w:bottom w:val="single" w:color="auto"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产出时效</w:t>
            </w: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按时完成率</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841"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lang w:eastAsia="zh"/>
              </w:rPr>
            </w:pPr>
            <w:r>
              <w:rPr>
                <w:rFonts w:hint="eastAsia" w:ascii="宋体" w:hAnsi="宋体" w:eastAsia="宋体" w:cs="宋体"/>
                <w:i w:val="0"/>
                <w:iCs w:val="0"/>
                <w:color w:val="auto"/>
                <w:kern w:val="0"/>
                <w:sz w:val="20"/>
                <w:szCs w:val="20"/>
                <w:highlight w:val="none"/>
                <w:u w:val="none"/>
                <w:lang w:val="en-US" w:eastAsia="zh-CN" w:bidi="ar"/>
              </w:rPr>
              <w:t>效益</w:t>
            </w:r>
            <w:r>
              <w:rPr>
                <w:rFonts w:hint="eastAsia" w:ascii="宋体" w:hAnsi="宋体" w:eastAsia="宋体" w:cs="宋体"/>
                <w:i w:val="0"/>
                <w:iCs w:val="0"/>
                <w:color w:val="auto"/>
                <w:kern w:val="0"/>
                <w:sz w:val="20"/>
                <w:szCs w:val="20"/>
                <w:highlight w:val="none"/>
                <w:u w:val="none"/>
                <w:lang w:val="en-US" w:eastAsia="zh" w:bidi="ar"/>
              </w:rPr>
              <w:t>指标</w:t>
            </w:r>
          </w:p>
        </w:tc>
        <w:tc>
          <w:tcPr>
            <w:tcW w:w="972" w:type="pc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经济效益</w:t>
            </w: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促进当地经济发展</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有效促进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841" w:type="pct"/>
            <w:vMerge w:val="continue"/>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tcBorders>
              <w:top w:val="nil"/>
              <w:left w:val="single" w:color="auto" w:sz="4" w:space="0"/>
              <w:bottom w:val="nil"/>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社会效益</w:t>
            </w:r>
          </w:p>
        </w:tc>
        <w:tc>
          <w:tcPr>
            <w:tcW w:w="207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无线电安全保障</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有效保障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8" w:hRule="atLeast"/>
          <w:jc w:val="center"/>
        </w:trPr>
        <w:tc>
          <w:tcPr>
            <w:tcW w:w="841" w:type="pct"/>
            <w:vMerge w:val="continue"/>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restar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技术效益</w:t>
            </w:r>
          </w:p>
        </w:tc>
        <w:tc>
          <w:tcPr>
            <w:tcW w:w="207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促进无线电事业健康发展</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维护空中电波秩序，保障电磁空间安全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841" w:type="pct"/>
            <w:vMerge w:val="continue"/>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continue"/>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检测机构技术能力提升</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稳步提升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841" w:type="pct"/>
            <w:vMerge w:val="continue"/>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可持续影响</w:t>
            </w:r>
          </w:p>
        </w:tc>
        <w:tc>
          <w:tcPr>
            <w:tcW w:w="207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提升管理效能</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lang w:eastAsia="zh"/>
              </w:rPr>
            </w:pPr>
            <w:r>
              <w:rPr>
                <w:rFonts w:hint="eastAsia" w:ascii="宋体" w:hAnsi="宋体" w:eastAsia="宋体" w:cs="宋体"/>
                <w:i w:val="0"/>
                <w:iCs w:val="0"/>
                <w:color w:val="auto"/>
                <w:kern w:val="0"/>
                <w:sz w:val="20"/>
                <w:szCs w:val="20"/>
                <w:highlight w:val="none"/>
                <w:u w:val="none"/>
                <w:lang w:val="en-US" w:eastAsia="zh-CN" w:bidi="ar"/>
              </w:rPr>
              <w:t>管理效能</w:t>
            </w:r>
            <w:r>
              <w:rPr>
                <w:rFonts w:hint="eastAsia" w:ascii="宋体" w:hAnsi="宋体" w:eastAsia="宋体" w:cs="宋体"/>
                <w:i w:val="0"/>
                <w:iCs w:val="0"/>
                <w:color w:val="auto"/>
                <w:kern w:val="0"/>
                <w:sz w:val="20"/>
                <w:szCs w:val="20"/>
                <w:highlight w:val="none"/>
                <w:u w:val="none"/>
                <w:lang w:val="en-US" w:eastAsia="zh" w:bidi="ar"/>
              </w:rPr>
              <w:t>提升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jc w:val="center"/>
        </w:trPr>
        <w:tc>
          <w:tcPr>
            <w:tcW w:w="841"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lang w:eastAsia="zh"/>
              </w:rPr>
            </w:pPr>
            <w:r>
              <w:rPr>
                <w:rFonts w:hint="eastAsia" w:ascii="宋体" w:hAnsi="宋体" w:eastAsia="宋体" w:cs="宋体"/>
                <w:i w:val="0"/>
                <w:iCs w:val="0"/>
                <w:color w:val="auto"/>
                <w:sz w:val="20"/>
                <w:szCs w:val="20"/>
                <w:highlight w:val="none"/>
                <w:u w:val="none"/>
                <w:lang w:eastAsia="zh"/>
              </w:rPr>
              <w:t>满意度指标</w:t>
            </w:r>
          </w:p>
        </w:tc>
        <w:tc>
          <w:tcPr>
            <w:tcW w:w="972" w:type="pct"/>
            <w:vMerge w:val="restar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服务对象满意度</w:t>
            </w: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市场主体满意度</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7" w:hRule="atLeast"/>
          <w:jc w:val="center"/>
        </w:trPr>
        <w:tc>
          <w:tcPr>
            <w:tcW w:w="841" w:type="pct"/>
            <w:vMerge w:val="continue"/>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972" w:type="pct"/>
            <w:vMerge w:val="continue"/>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i w:val="0"/>
                <w:iCs w:val="0"/>
                <w:color w:val="auto"/>
                <w:sz w:val="20"/>
                <w:szCs w:val="20"/>
                <w:highlight w:val="none"/>
                <w:u w:val="none"/>
              </w:rPr>
            </w:pPr>
          </w:p>
        </w:tc>
        <w:tc>
          <w:tcPr>
            <w:tcW w:w="20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主管部门满意度</w:t>
            </w:r>
          </w:p>
        </w:tc>
        <w:tc>
          <w:tcPr>
            <w:tcW w:w="11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≥90%</w:t>
            </w:r>
          </w:p>
        </w:tc>
      </w:tr>
    </w:tbl>
    <w:p>
      <w:pPr>
        <w:keepNext w:val="0"/>
        <w:keepLines w:val="0"/>
        <w:pageBreakBefore w:val="0"/>
        <w:widowControl w:val="0"/>
        <w:kinsoku/>
        <w:wordWrap/>
        <w:overflowPunct/>
        <w:topLinePunct w:val="0"/>
        <w:autoSpaceDE/>
        <w:autoSpaceDN/>
        <w:bidi w:val="0"/>
        <w:adjustRightInd w:val="0"/>
        <w:snapToGrid w:val="0"/>
        <w:spacing w:before="313" w:beforeLines="100" w:line="360" w:lineRule="auto"/>
        <w:jc w:val="center"/>
        <w:textAlignment w:val="auto"/>
        <w:rPr>
          <w:rFonts w:ascii="黑体" w:hAnsi="黑体" w:eastAsia="黑体"/>
          <w:color w:val="auto"/>
          <w:kern w:val="0"/>
          <w:sz w:val="28"/>
          <w:szCs w:val="28"/>
          <w:highlight w:val="none"/>
        </w:rPr>
      </w:pPr>
      <w:r>
        <w:rPr>
          <w:rFonts w:hint="eastAsia" w:ascii="黑体" w:hAnsi="黑体" w:eastAsia="黑体"/>
          <w:color w:val="auto"/>
          <w:kern w:val="0"/>
          <w:sz w:val="28"/>
          <w:szCs w:val="28"/>
          <w:highlight w:val="none"/>
        </w:rPr>
        <w:t>表</w:t>
      </w:r>
      <w:r>
        <w:rPr>
          <w:rFonts w:hint="eastAsia" w:ascii="黑体" w:hAnsi="黑体" w:eastAsia="黑体"/>
          <w:color w:val="auto"/>
          <w:kern w:val="0"/>
          <w:sz w:val="28"/>
          <w:szCs w:val="28"/>
          <w:highlight w:val="none"/>
          <w:lang w:val="en-US" w:eastAsia="zh-CN"/>
        </w:rPr>
        <w:t>5</w:t>
      </w:r>
      <w:r>
        <w:rPr>
          <w:rFonts w:hint="eastAsia" w:ascii="黑体" w:hAnsi="黑体" w:eastAsia="黑体"/>
          <w:color w:val="auto"/>
          <w:kern w:val="0"/>
          <w:sz w:val="28"/>
          <w:szCs w:val="28"/>
          <w:highlight w:val="none"/>
        </w:rPr>
        <w:t>：在用无线电监测设施测试验证服务项目绩效目标表</w:t>
      </w:r>
    </w:p>
    <w:tbl>
      <w:tblPr>
        <w:tblStyle w:val="16"/>
        <w:tblW w:w="4863" w:type="pct"/>
        <w:tblInd w:w="11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520"/>
        <w:gridCol w:w="1666"/>
        <w:gridCol w:w="3854"/>
        <w:gridCol w:w="177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0" w:hRule="atLeast"/>
          <w:tblHeader/>
        </w:trPr>
        <w:tc>
          <w:tcPr>
            <w:tcW w:w="862" w:type="pct"/>
            <w:tcBorders>
              <w:top w:val="single" w:color="000000" w:sz="4" w:space="0"/>
              <w:left w:val="single" w:color="000000" w:sz="4" w:space="0"/>
              <w:bottom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一级指标</w:t>
            </w:r>
          </w:p>
        </w:tc>
        <w:tc>
          <w:tcPr>
            <w:tcW w:w="945" w:type="pct"/>
            <w:tcBorders>
              <w:top w:val="single" w:color="000000" w:sz="4" w:space="0"/>
              <w:left w:val="single" w:color="000000" w:sz="4" w:space="0"/>
              <w:bottom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二级指标</w:t>
            </w:r>
          </w:p>
        </w:tc>
        <w:tc>
          <w:tcPr>
            <w:tcW w:w="2186" w:type="pct"/>
            <w:tcBorders>
              <w:top w:val="single" w:color="000000" w:sz="4" w:space="0"/>
              <w:left w:val="single" w:color="000000" w:sz="4" w:space="0"/>
              <w:bottom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三级指标</w:t>
            </w:r>
          </w:p>
        </w:tc>
        <w:tc>
          <w:tcPr>
            <w:tcW w:w="10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指标值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vMerge w:val="restart"/>
            <w:tcBorders>
              <w:top w:val="single" w:color="auto" w:sz="4" w:space="0"/>
              <w:left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产出指标</w:t>
            </w:r>
          </w:p>
        </w:tc>
        <w:tc>
          <w:tcPr>
            <w:tcW w:w="945" w:type="pct"/>
            <w:vMerge w:val="restart"/>
            <w:tcBorders>
              <w:top w:val="single" w:color="auto" w:sz="4" w:space="0"/>
              <w:left w:val="single" w:color="000000"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数量指标</w:t>
            </w:r>
          </w:p>
        </w:tc>
        <w:tc>
          <w:tcPr>
            <w:tcW w:w="2186" w:type="pct"/>
            <w:tcBorders>
              <w:top w:val="single" w:color="auto" w:sz="4" w:space="0"/>
              <w:left w:val="single" w:color="auto"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出具技术设施报废意见数量</w:t>
            </w:r>
          </w:p>
        </w:tc>
        <w:tc>
          <w:tcPr>
            <w:tcW w:w="1005" w:type="pc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vMerge w:val="continue"/>
            <w:tcBorders>
              <w:left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945" w:type="pct"/>
            <w:vMerge w:val="continue"/>
            <w:tcBorders>
              <w:top w:val="single" w:color="auto" w:sz="4" w:space="0"/>
              <w:left w:val="single" w:color="000000"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2186" w:type="pct"/>
            <w:tcBorders>
              <w:top w:val="single" w:color="000000" w:sz="4" w:space="0"/>
              <w:left w:val="single" w:color="auto"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完成标准符合性测试、互联互通测试数量</w:t>
            </w:r>
          </w:p>
        </w:tc>
        <w:tc>
          <w:tcPr>
            <w:tcW w:w="1005" w:type="pc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1份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vMerge w:val="continue"/>
            <w:tcBorders>
              <w:left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945" w:type="pct"/>
            <w:vMerge w:val="continue"/>
            <w:tcBorders>
              <w:top w:val="single" w:color="auto" w:sz="4" w:space="0"/>
              <w:left w:val="single" w:color="000000"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2186" w:type="pct"/>
            <w:tcBorders>
              <w:top w:val="single" w:color="000000" w:sz="4" w:space="0"/>
              <w:left w:val="single" w:color="auto"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完成集成符合性测试次数</w:t>
            </w:r>
          </w:p>
        </w:tc>
        <w:tc>
          <w:tcPr>
            <w:tcW w:w="1005" w:type="pc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 w:bidi="ar"/>
              </w:rPr>
              <w:t>≥</w:t>
            </w:r>
            <w:r>
              <w:rPr>
                <w:rFonts w:hint="eastAsia" w:ascii="宋体" w:hAnsi="宋体" w:eastAsia="宋体" w:cs="宋体"/>
                <w:i w:val="0"/>
                <w:iCs w:val="0"/>
                <w:color w:val="auto"/>
                <w:kern w:val="0"/>
                <w:sz w:val="20"/>
                <w:szCs w:val="20"/>
                <w:highlight w:val="none"/>
                <w:u w:val="none"/>
                <w:lang w:val="en-US" w:eastAsia="zh-CN" w:bidi="ar"/>
              </w:rPr>
              <w:t>1</w:t>
            </w:r>
            <w:r>
              <w:rPr>
                <w:rFonts w:hint="eastAsia" w:ascii="宋体" w:hAnsi="宋体" w:eastAsia="宋体" w:cs="宋体"/>
                <w:i w:val="0"/>
                <w:iCs w:val="0"/>
                <w:color w:val="auto"/>
                <w:kern w:val="0"/>
                <w:sz w:val="20"/>
                <w:szCs w:val="20"/>
                <w:highlight w:val="none"/>
                <w:u w:val="none"/>
                <w:lang w:val="en-US" w:eastAsia="zh" w:bidi="ar"/>
              </w:rPr>
              <w:t>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vMerge w:val="continue"/>
            <w:tcBorders>
              <w:left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945" w:type="pct"/>
            <w:vMerge w:val="continue"/>
            <w:tcBorders>
              <w:top w:val="single" w:color="auto" w:sz="4" w:space="0"/>
              <w:left w:val="single" w:color="000000"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2186" w:type="pct"/>
            <w:tcBorders>
              <w:top w:val="single" w:color="000000" w:sz="4" w:space="0"/>
              <w:left w:val="single" w:color="auto" w:sz="4" w:space="0"/>
              <w:bottom w:val="single" w:color="000000"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出具验证报告书</w:t>
            </w:r>
          </w:p>
        </w:tc>
        <w:tc>
          <w:tcPr>
            <w:tcW w:w="1005" w:type="pc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default"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1</w:t>
            </w:r>
            <w:r>
              <w:rPr>
                <w:rFonts w:hint="eastAsia" w:ascii="宋体" w:hAnsi="宋体" w:eastAsia="宋体" w:cs="宋体"/>
                <w:i w:val="0"/>
                <w:iCs w:val="0"/>
                <w:color w:val="auto"/>
                <w:kern w:val="0"/>
                <w:sz w:val="20"/>
                <w:szCs w:val="20"/>
                <w:highlight w:val="none"/>
                <w:u w:val="none"/>
                <w:lang w:val="en-US" w:eastAsia="zh" w:bidi="ar"/>
              </w:rPr>
              <w:t>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vMerge w:val="continue"/>
            <w:tcBorders>
              <w:left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945" w:type="pct"/>
            <w:tcBorders>
              <w:top w:val="single" w:color="auto" w:sz="4" w:space="0"/>
              <w:left w:val="single" w:color="000000" w:sz="4" w:space="0"/>
              <w:bottom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质量指标</w:t>
            </w:r>
          </w:p>
        </w:tc>
        <w:tc>
          <w:tcPr>
            <w:tcW w:w="2186" w:type="pct"/>
            <w:tcBorders>
              <w:top w:val="single" w:color="000000" w:sz="4" w:space="0"/>
              <w:left w:val="single" w:color="000000"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工作质量合格率</w:t>
            </w:r>
          </w:p>
        </w:tc>
        <w:tc>
          <w:tcPr>
            <w:tcW w:w="1005" w:type="pc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100</w:t>
            </w:r>
            <w:r>
              <w:rPr>
                <w:rFonts w:hint="eastAsia" w:ascii="宋体" w:hAnsi="宋体" w:eastAsia="宋体" w:cs="宋体"/>
                <w:i w:val="0"/>
                <w:iCs w:val="0"/>
                <w:color w:val="auto"/>
                <w:kern w:val="0"/>
                <w:sz w:val="20"/>
                <w:szCs w:val="20"/>
                <w:highlight w:val="none"/>
                <w:u w:val="none"/>
                <w:lang w:val="en-US" w:eastAsia="zh"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vMerge w:val="continue"/>
            <w:tcBorders>
              <w:left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lang w:val="en-US" w:eastAsia="zh-CN"/>
              </w:rPr>
            </w:pPr>
          </w:p>
        </w:tc>
        <w:tc>
          <w:tcPr>
            <w:tcW w:w="945" w:type="pct"/>
            <w:vMerge w:val="restart"/>
            <w:tcBorders>
              <w:top w:val="single" w:color="auto" w:sz="4" w:space="0"/>
              <w:left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时效指标</w:t>
            </w:r>
          </w:p>
        </w:tc>
        <w:tc>
          <w:tcPr>
            <w:tcW w:w="2186" w:type="pct"/>
            <w:tcBorders>
              <w:top w:val="single" w:color="auto"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截至12月底采购工作完成率</w:t>
            </w:r>
          </w:p>
        </w:tc>
        <w:tc>
          <w:tcPr>
            <w:tcW w:w="10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 w:bidi="ar"/>
              </w:rPr>
              <w:t>1</w:t>
            </w:r>
            <w:r>
              <w:rPr>
                <w:rFonts w:hint="eastAsia" w:ascii="宋体" w:hAnsi="宋体" w:eastAsia="宋体" w:cs="宋体"/>
                <w:i w:val="0"/>
                <w:iCs w:val="0"/>
                <w:color w:val="auto"/>
                <w:kern w:val="0"/>
                <w:sz w:val="20"/>
                <w:szCs w:val="20"/>
                <w:highlight w:val="none"/>
                <w:u w:val="none"/>
                <w:lang w:val="en-US" w:eastAsia="zh-CN" w:bidi="ar"/>
              </w:rPr>
              <w:t>00</w:t>
            </w:r>
            <w:r>
              <w:rPr>
                <w:rFonts w:hint="eastAsia" w:ascii="宋体" w:hAnsi="宋体" w:eastAsia="宋体" w:cs="宋体"/>
                <w:i w:val="0"/>
                <w:iCs w:val="0"/>
                <w:color w:val="auto"/>
                <w:kern w:val="0"/>
                <w:sz w:val="20"/>
                <w:szCs w:val="20"/>
                <w:highlight w:val="none"/>
                <w:u w:val="none"/>
                <w:lang w:val="en-US" w:eastAsia="zh"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vMerge w:val="continue"/>
            <w:tcBorders>
              <w:left w:val="single" w:color="auto" w:sz="4" w:space="0"/>
              <w:bottom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945" w:type="pct"/>
            <w:vMerge w:val="continue"/>
            <w:tcBorders>
              <w:left w:val="single" w:color="000000" w:sz="4" w:space="0"/>
              <w:bottom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p>
        </w:tc>
        <w:tc>
          <w:tcPr>
            <w:tcW w:w="21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截至12月底项目资金支出完成率</w:t>
            </w:r>
          </w:p>
        </w:tc>
        <w:tc>
          <w:tcPr>
            <w:tcW w:w="10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 w:bidi="ar"/>
              </w:rPr>
              <w:t>≥</w:t>
            </w:r>
            <w:r>
              <w:rPr>
                <w:rFonts w:hint="eastAsia" w:ascii="宋体" w:hAnsi="宋体" w:eastAsia="宋体" w:cs="宋体"/>
                <w:i w:val="0"/>
                <w:iCs w:val="0"/>
                <w:color w:val="auto"/>
                <w:kern w:val="0"/>
                <w:sz w:val="20"/>
                <w:szCs w:val="20"/>
                <w:highlight w:val="none"/>
                <w:u w:val="none"/>
                <w:lang w:val="en-US" w:eastAsia="zh-CN" w:bidi="ar"/>
              </w:rPr>
              <w:t>90</w:t>
            </w:r>
            <w:r>
              <w:rPr>
                <w:rFonts w:hint="eastAsia" w:ascii="宋体" w:hAnsi="宋体" w:eastAsia="宋体" w:cs="宋体"/>
                <w:i w:val="0"/>
                <w:iCs w:val="0"/>
                <w:color w:val="auto"/>
                <w:kern w:val="0"/>
                <w:sz w:val="20"/>
                <w:szCs w:val="20"/>
                <w:highlight w:val="none"/>
                <w:u w:val="none"/>
                <w:lang w:val="en-US" w:eastAsia="zh"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tcBorders>
              <w:top w:val="single" w:color="auto" w:sz="4" w:space="0"/>
              <w:left w:val="single" w:color="auto" w:sz="4" w:space="0"/>
              <w:bottom w:val="single" w:color="auto"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效益指标</w:t>
            </w:r>
          </w:p>
        </w:tc>
        <w:tc>
          <w:tcPr>
            <w:tcW w:w="945" w:type="pct"/>
            <w:tcBorders>
              <w:top w:val="single" w:color="auto" w:sz="4" w:space="0"/>
              <w:left w:val="single" w:color="000000"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可持续影响指标</w:t>
            </w:r>
          </w:p>
        </w:tc>
        <w:tc>
          <w:tcPr>
            <w:tcW w:w="2186" w:type="pct"/>
            <w:tcBorders>
              <w:top w:val="single" w:color="000000"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提升系统稳定性</w:t>
            </w:r>
          </w:p>
        </w:tc>
        <w:tc>
          <w:tcPr>
            <w:tcW w:w="10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优良中低差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862" w:type="pct"/>
            <w:tcBorders>
              <w:top w:val="single" w:color="auto" w:sz="4" w:space="0"/>
              <w:left w:val="single" w:color="auto"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lang w:val="en-US" w:eastAsia="zh-CN"/>
              </w:rPr>
            </w:pPr>
            <w:r>
              <w:rPr>
                <w:rFonts w:hint="eastAsia" w:ascii="宋体" w:hAnsi="宋体" w:eastAsia="宋体" w:cs="宋体"/>
                <w:i w:val="0"/>
                <w:iCs w:val="0"/>
                <w:color w:val="auto"/>
                <w:sz w:val="20"/>
                <w:szCs w:val="20"/>
                <w:highlight w:val="none"/>
                <w:u w:val="none"/>
                <w:lang w:val="en-US" w:eastAsia="zh-CN"/>
              </w:rPr>
              <w:t>续上页</w:t>
            </w:r>
          </w:p>
        </w:tc>
        <w:tc>
          <w:tcPr>
            <w:tcW w:w="945" w:type="pct"/>
            <w:tcBorders>
              <w:top w:val="single" w:color="auto"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社会效益指标</w:t>
            </w:r>
          </w:p>
        </w:tc>
        <w:tc>
          <w:tcPr>
            <w:tcW w:w="21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使用效能得到评估</w:t>
            </w:r>
          </w:p>
        </w:tc>
        <w:tc>
          <w:tcPr>
            <w:tcW w:w="10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优良中低差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4" w:hRule="atLeast"/>
        </w:trPr>
        <w:tc>
          <w:tcPr>
            <w:tcW w:w="8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满意度</w:t>
            </w:r>
          </w:p>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指标</w:t>
            </w:r>
          </w:p>
        </w:tc>
        <w:tc>
          <w:tcPr>
            <w:tcW w:w="9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服务对象</w:t>
            </w:r>
          </w:p>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满意度指标</w:t>
            </w:r>
          </w:p>
        </w:tc>
        <w:tc>
          <w:tcPr>
            <w:tcW w:w="21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使用人员满意度</w:t>
            </w:r>
          </w:p>
        </w:tc>
        <w:tc>
          <w:tcPr>
            <w:tcW w:w="100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 w:bidi="ar"/>
              </w:rPr>
              <w:t>≥</w:t>
            </w:r>
            <w:r>
              <w:rPr>
                <w:rFonts w:hint="eastAsia" w:ascii="宋体" w:hAnsi="宋体" w:eastAsia="宋体" w:cs="宋体"/>
                <w:i w:val="0"/>
                <w:iCs w:val="0"/>
                <w:color w:val="auto"/>
                <w:kern w:val="0"/>
                <w:sz w:val="20"/>
                <w:szCs w:val="20"/>
                <w:highlight w:val="none"/>
                <w:u w:val="none"/>
                <w:lang w:val="en-US" w:eastAsia="zh-CN" w:bidi="ar"/>
              </w:rPr>
              <w:t>90</w:t>
            </w:r>
            <w:r>
              <w:rPr>
                <w:rFonts w:hint="eastAsia" w:ascii="宋体" w:hAnsi="宋体" w:eastAsia="宋体" w:cs="宋体"/>
                <w:i w:val="0"/>
                <w:iCs w:val="0"/>
                <w:color w:val="auto"/>
                <w:kern w:val="0"/>
                <w:sz w:val="20"/>
                <w:szCs w:val="20"/>
                <w:highlight w:val="none"/>
                <w:u w:val="none"/>
                <w:lang w:val="en-US" w:eastAsia="zh" w:bidi="ar"/>
              </w:rPr>
              <w:t>%</w:t>
            </w:r>
          </w:p>
        </w:tc>
      </w:tr>
    </w:tbl>
    <w:p>
      <w:pPr>
        <w:pStyle w:val="2"/>
        <w:keepNext w:val="0"/>
        <w:keepLines w:val="0"/>
        <w:pageBreakBefore w:val="0"/>
        <w:widowControl w:val="0"/>
        <w:kinsoku/>
        <w:wordWrap/>
        <w:overflowPunct/>
        <w:topLinePunct w:val="0"/>
        <w:autoSpaceDE/>
        <w:autoSpaceDN/>
        <w:bidi w:val="0"/>
        <w:adjustRightInd w:val="0"/>
        <w:snapToGrid w:val="0"/>
        <w:spacing w:before="313" w:beforeLines="100" w:after="0" w:line="360" w:lineRule="auto"/>
        <w:ind w:firstLine="640" w:firstLineChars="200"/>
        <w:textAlignment w:val="auto"/>
        <w:rPr>
          <w:rFonts w:ascii="黑体" w:hAnsi="等线" w:eastAsia="黑体"/>
          <w:b w:val="0"/>
          <w:bCs w:val="0"/>
          <w:color w:val="auto"/>
          <w:kern w:val="2"/>
          <w:sz w:val="32"/>
          <w:szCs w:val="32"/>
          <w:highlight w:val="none"/>
        </w:rPr>
      </w:pPr>
      <w:bookmarkStart w:id="36" w:name="_Toc336506893"/>
      <w:bookmarkStart w:id="37" w:name="_Toc336506958"/>
      <w:bookmarkStart w:id="38" w:name="_Toc30766"/>
      <w:bookmarkStart w:id="39" w:name="_Toc20249"/>
      <w:bookmarkStart w:id="40" w:name="_Toc11754"/>
      <w:bookmarkStart w:id="41" w:name="_Toc55475186"/>
      <w:bookmarkStart w:id="42" w:name="_Toc13431"/>
      <w:r>
        <w:rPr>
          <w:rFonts w:hint="eastAsia" w:ascii="黑体" w:hAnsi="等线" w:eastAsia="黑体"/>
          <w:b w:val="0"/>
          <w:bCs w:val="0"/>
          <w:color w:val="auto"/>
          <w:kern w:val="2"/>
          <w:sz w:val="32"/>
          <w:szCs w:val="32"/>
          <w:highlight w:val="none"/>
        </w:rPr>
        <w:t>二、</w:t>
      </w:r>
      <w:bookmarkEnd w:id="36"/>
      <w:bookmarkEnd w:id="37"/>
      <w:r>
        <w:rPr>
          <w:rFonts w:hint="eastAsia" w:ascii="黑体" w:hAnsi="等线" w:eastAsia="黑体"/>
          <w:b w:val="0"/>
          <w:bCs w:val="0"/>
          <w:color w:val="auto"/>
          <w:kern w:val="2"/>
          <w:sz w:val="32"/>
          <w:szCs w:val="32"/>
          <w:highlight w:val="none"/>
        </w:rPr>
        <w:t>绩效评价工作情况</w:t>
      </w:r>
      <w:bookmarkEnd w:id="38"/>
      <w:bookmarkEnd w:id="39"/>
      <w:bookmarkEnd w:id="40"/>
      <w:bookmarkEnd w:id="41"/>
      <w:bookmarkEnd w:id="42"/>
    </w:p>
    <w:p>
      <w:pPr>
        <w:pStyle w:val="3"/>
        <w:keepNext w:val="0"/>
        <w:keepLines w:val="0"/>
        <w:adjustRightInd w:val="0"/>
        <w:snapToGrid w:val="0"/>
        <w:spacing w:before="0" w:after="0" w:line="360" w:lineRule="auto"/>
        <w:ind w:firstLine="640" w:firstLineChars="200"/>
        <w:rPr>
          <w:rFonts w:ascii="楷体_GB2312" w:hAnsi="等线" w:eastAsia="楷体_GB2312" w:cs="Times New Roman"/>
          <w:b w:val="0"/>
          <w:bCs w:val="0"/>
          <w:color w:val="auto"/>
          <w:highlight w:val="none"/>
        </w:rPr>
      </w:pPr>
      <w:bookmarkStart w:id="43" w:name="_Toc454"/>
      <w:bookmarkStart w:id="44" w:name="_Toc15864"/>
      <w:bookmarkStart w:id="45" w:name="_Toc55475187"/>
      <w:bookmarkStart w:id="46" w:name="_Toc13978"/>
      <w:bookmarkStart w:id="47" w:name="_Toc11919"/>
      <w:r>
        <w:rPr>
          <w:rFonts w:hint="eastAsia" w:ascii="楷体_GB2312" w:hAnsi="等线" w:eastAsia="楷体_GB2312" w:cs="Times New Roman"/>
          <w:b w:val="0"/>
          <w:bCs w:val="0"/>
          <w:color w:val="auto"/>
          <w:highlight w:val="none"/>
        </w:rPr>
        <w:t>（一）绩效评价目的</w:t>
      </w:r>
      <w:bookmarkEnd w:id="43"/>
      <w:bookmarkEnd w:id="44"/>
      <w:bookmarkEnd w:id="45"/>
      <w:bookmarkEnd w:id="46"/>
      <w:bookmarkEnd w:id="47"/>
    </w:p>
    <w:p>
      <w:pPr>
        <w:adjustRightInd w:val="0"/>
        <w:snapToGrid w:val="0"/>
        <w:spacing w:line="360" w:lineRule="auto"/>
        <w:ind w:left="0" w:leftChars="0" w:firstLine="640" w:firstLineChars="200"/>
        <w:jc w:val="both"/>
        <w:rPr>
          <w:rFonts w:ascii="仿宋_GB2312" w:hAnsi="仿宋_GB2312" w:cs="仿宋_GB2312"/>
          <w:color w:val="auto"/>
          <w:sz w:val="32"/>
          <w:szCs w:val="32"/>
          <w:highlight w:val="none"/>
        </w:rPr>
      </w:pPr>
      <w:bookmarkStart w:id="48" w:name="_Toc336506959"/>
      <w:bookmarkStart w:id="49" w:name="_Toc336506894"/>
      <w:r>
        <w:rPr>
          <w:rFonts w:hint="eastAsia" w:ascii="仿宋_GB2312"/>
          <w:color w:val="auto"/>
          <w:sz w:val="32"/>
          <w:szCs w:val="32"/>
          <w:highlight w:val="none"/>
        </w:rPr>
        <w:t>为深入贯彻落实中共中央、国务院《关于全面实施预算绩效管理的意见》（中发〔2018〕34号）文件精神，按照</w:t>
      </w:r>
      <w:r>
        <w:rPr>
          <w:rFonts w:hint="eastAsia" w:ascii="仿宋_GB2312"/>
          <w:color w:val="auto"/>
          <w:sz w:val="32"/>
          <w:szCs w:val="32"/>
          <w:highlight w:val="none"/>
          <w:lang w:val="en-US" w:eastAsia="zh-CN"/>
        </w:rPr>
        <w:t>《无线电管理经费资金管理办法》（财建〔2023〕224号）《无线电频率占用费转移支付资金支出绩效评价办法》（工信厅无函〔2022〕175号）《工业和信息化部无线电管理局关于组织开展2023年度无线电管理经费资金绩效评价工作的通知》（工无函〔2024〕172号）等</w:t>
      </w:r>
      <w:r>
        <w:rPr>
          <w:rFonts w:hint="eastAsia" w:ascii="仿宋_GB2312"/>
          <w:color w:val="auto"/>
          <w:sz w:val="32"/>
          <w:szCs w:val="32"/>
          <w:highlight w:val="none"/>
        </w:rPr>
        <w:t>相关要求，加强</w:t>
      </w:r>
      <w:r>
        <w:rPr>
          <w:rFonts w:hint="eastAsia" w:ascii="仿宋_GB2312"/>
          <w:color w:val="auto"/>
          <w:sz w:val="32"/>
          <w:szCs w:val="32"/>
          <w:highlight w:val="none"/>
          <w:lang w:val="en-US" w:eastAsia="zh-CN"/>
        </w:rPr>
        <w:t>无线电管理经费</w:t>
      </w:r>
      <w:r>
        <w:rPr>
          <w:rFonts w:hint="eastAsia" w:ascii="仿宋_GB2312"/>
          <w:color w:val="auto"/>
          <w:sz w:val="32"/>
          <w:szCs w:val="32"/>
          <w:highlight w:val="none"/>
        </w:rPr>
        <w:t>资金管理，强化支出责任，建立科学、合理的</w:t>
      </w:r>
      <w:r>
        <w:rPr>
          <w:rFonts w:hint="eastAsia" w:ascii="仿宋_GB2312"/>
          <w:color w:val="auto"/>
          <w:sz w:val="32"/>
          <w:szCs w:val="32"/>
          <w:highlight w:val="none"/>
          <w:lang w:val="en-US" w:eastAsia="zh-CN"/>
        </w:rPr>
        <w:t>无线电管理经费</w:t>
      </w:r>
      <w:r>
        <w:rPr>
          <w:rFonts w:hint="eastAsia" w:ascii="仿宋_GB2312"/>
          <w:color w:val="auto"/>
          <w:sz w:val="32"/>
          <w:szCs w:val="32"/>
          <w:highlight w:val="none"/>
        </w:rPr>
        <w:t>资金绩效评价管理体系，</w:t>
      </w:r>
      <w:r>
        <w:rPr>
          <w:rFonts w:hint="eastAsia" w:ascii="仿宋_GB2312" w:hAnsi="仿宋_GB2312" w:cs="仿宋_GB2312"/>
          <w:color w:val="auto"/>
          <w:sz w:val="32"/>
          <w:szCs w:val="32"/>
          <w:highlight w:val="none"/>
        </w:rPr>
        <w:t>受市经信局委托，北京立瑞会计师事务所（普通合伙）（以下简称“评价机构”）对市经信局20</w:t>
      </w:r>
      <w:r>
        <w:rPr>
          <w:rFonts w:ascii="仿宋_GB2312" w:hAnsi="仿宋_GB2312" w:cs="仿宋_GB2312"/>
          <w:color w:val="auto"/>
          <w:sz w:val="32"/>
          <w:szCs w:val="32"/>
          <w:highlight w:val="none"/>
        </w:rPr>
        <w:t>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年度</w:t>
      </w:r>
      <w:r>
        <w:rPr>
          <w:rFonts w:hint="eastAsia" w:ascii="仿宋_GB2312" w:hAnsi="仿宋_GB2312" w:cs="仿宋_GB2312"/>
          <w:color w:val="auto"/>
          <w:sz w:val="32"/>
          <w:szCs w:val="32"/>
          <w:highlight w:val="none"/>
          <w:lang w:val="en-US" w:eastAsia="zh-CN"/>
        </w:rPr>
        <w:t>无线电管理经费资金</w:t>
      </w:r>
      <w:r>
        <w:rPr>
          <w:rFonts w:hint="eastAsia" w:ascii="仿宋_GB2312" w:hAnsi="仿宋_GB2312" w:cs="仿宋_GB2312"/>
          <w:color w:val="auto"/>
          <w:sz w:val="32"/>
          <w:szCs w:val="32"/>
          <w:highlight w:val="none"/>
        </w:rPr>
        <w:t>开展绩效评价</w:t>
      </w:r>
      <w:r>
        <w:rPr>
          <w:rFonts w:hint="eastAsia" w:ascii="仿宋_GB2312"/>
          <w:color w:val="auto"/>
          <w:sz w:val="32"/>
          <w:szCs w:val="32"/>
          <w:highlight w:val="none"/>
        </w:rPr>
        <w:t>，全面反映</w:t>
      </w:r>
      <w:r>
        <w:rPr>
          <w:rFonts w:hint="eastAsia" w:ascii="仿宋_GB2312"/>
          <w:color w:val="auto"/>
          <w:sz w:val="32"/>
          <w:szCs w:val="32"/>
          <w:highlight w:val="none"/>
          <w:lang w:val="en-US" w:eastAsia="zh-CN"/>
        </w:rPr>
        <w:t>无线电管理经费</w:t>
      </w:r>
      <w:r>
        <w:rPr>
          <w:rFonts w:hint="eastAsia" w:ascii="仿宋_GB2312"/>
          <w:color w:val="auto"/>
          <w:sz w:val="32"/>
          <w:szCs w:val="32"/>
          <w:highlight w:val="none"/>
        </w:rPr>
        <w:t>包括项目执行、绩效目标完成、资金管理、实际产出、取得效益等情况，总结经验、发现问题、提出建议，促进单位科学决策，提升内部管理水平，提高财政资金使用效益，确保</w:t>
      </w:r>
      <w:r>
        <w:rPr>
          <w:rFonts w:hint="eastAsia" w:ascii="仿宋_GB2312"/>
          <w:color w:val="auto"/>
          <w:sz w:val="32"/>
          <w:szCs w:val="32"/>
          <w:highlight w:val="none"/>
          <w:lang w:val="en-US" w:eastAsia="zh-CN"/>
        </w:rPr>
        <w:t>无线电管理经费</w:t>
      </w:r>
      <w:r>
        <w:rPr>
          <w:rFonts w:hint="eastAsia" w:ascii="仿宋_GB2312"/>
          <w:color w:val="auto"/>
          <w:sz w:val="32"/>
          <w:szCs w:val="32"/>
          <w:highlight w:val="none"/>
        </w:rPr>
        <w:t>资金的规范、高效运行。</w:t>
      </w:r>
      <w:bookmarkEnd w:id="48"/>
      <w:bookmarkEnd w:id="49"/>
    </w:p>
    <w:p>
      <w:pPr>
        <w:pStyle w:val="3"/>
        <w:keepNext w:val="0"/>
        <w:keepLines w:val="0"/>
        <w:adjustRightInd w:val="0"/>
        <w:snapToGrid w:val="0"/>
        <w:spacing w:before="0" w:after="0" w:line="360" w:lineRule="auto"/>
        <w:ind w:firstLine="640" w:firstLineChars="200"/>
        <w:rPr>
          <w:rFonts w:ascii="楷体_GB2312" w:hAnsi="等线" w:eastAsia="楷体_GB2312" w:cs="Times New Roman"/>
          <w:b w:val="0"/>
          <w:bCs w:val="0"/>
          <w:color w:val="auto"/>
          <w:highlight w:val="none"/>
        </w:rPr>
      </w:pPr>
      <w:bookmarkStart w:id="50" w:name="_Toc9308"/>
      <w:bookmarkStart w:id="51" w:name="_Toc21544"/>
      <w:bookmarkStart w:id="52" w:name="_Toc23004"/>
      <w:bookmarkStart w:id="53" w:name="_Toc55475188"/>
      <w:bookmarkStart w:id="54" w:name="_Toc14779"/>
      <w:r>
        <w:rPr>
          <w:rFonts w:hint="eastAsia" w:ascii="楷体_GB2312" w:hAnsi="等线" w:eastAsia="楷体_GB2312" w:cs="Times New Roman"/>
          <w:b w:val="0"/>
          <w:bCs w:val="0"/>
          <w:color w:val="auto"/>
          <w:highlight w:val="none"/>
        </w:rPr>
        <w:t>（二）绩效评价原则和方法、评价指标体系</w:t>
      </w:r>
      <w:bookmarkEnd w:id="50"/>
      <w:bookmarkEnd w:id="51"/>
      <w:bookmarkEnd w:id="52"/>
      <w:bookmarkEnd w:id="53"/>
      <w:bookmarkEnd w:id="54"/>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55" w:name="_Toc30850"/>
      <w:bookmarkStart w:id="56" w:name="_Toc3702"/>
      <w:bookmarkStart w:id="57" w:name="_Toc15931"/>
      <w:r>
        <w:rPr>
          <w:rFonts w:hint="eastAsia" w:ascii="仿宋_GB2312" w:hAnsi="仿宋_GB2312" w:cs="仿宋_GB2312"/>
          <w:iCs/>
          <w:color w:val="auto"/>
          <w:sz w:val="32"/>
          <w:szCs w:val="32"/>
          <w:highlight w:val="none"/>
        </w:rPr>
        <w:t>1.评价原则和方法</w:t>
      </w:r>
      <w:bookmarkEnd w:id="55"/>
      <w:bookmarkEnd w:id="56"/>
      <w:bookmarkEnd w:id="57"/>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宋体"/>
          <w:bCs/>
          <w:color w:val="auto"/>
          <w:sz w:val="32"/>
          <w:szCs w:val="32"/>
          <w:highlight w:val="none"/>
        </w:rPr>
        <w:t>本次评价本着问题导向、系统评价、科学客观、讲求绩效</w:t>
      </w:r>
      <w:r>
        <w:rPr>
          <w:rFonts w:hint="eastAsia" w:ascii="仿宋_GB2312"/>
          <w:color w:val="auto"/>
          <w:sz w:val="32"/>
          <w:szCs w:val="32"/>
          <w:highlight w:val="none"/>
        </w:rPr>
        <w:t>的</w:t>
      </w:r>
      <w:r>
        <w:rPr>
          <w:rFonts w:hint="eastAsia" w:ascii="仿宋_GB2312" w:hAnsi="宋体"/>
          <w:bCs/>
          <w:color w:val="auto"/>
          <w:sz w:val="32"/>
          <w:szCs w:val="32"/>
          <w:highlight w:val="none"/>
        </w:rPr>
        <w:t>原则，</w:t>
      </w:r>
      <w:r>
        <w:rPr>
          <w:rFonts w:hint="eastAsia" w:ascii="仿宋_GB2312"/>
          <w:color w:val="auto"/>
          <w:sz w:val="32"/>
          <w:szCs w:val="32"/>
          <w:highlight w:val="none"/>
        </w:rPr>
        <w:t>采用全面评价和重点评价相结合、现场评价和非现场评价相结合、定性分析与定量分析相结合的方式，运用</w:t>
      </w:r>
      <w:r>
        <w:rPr>
          <w:rFonts w:hint="eastAsia" w:ascii="仿宋_GB2312" w:hAnsi="等线"/>
          <w:color w:val="auto"/>
          <w:sz w:val="32"/>
          <w:szCs w:val="32"/>
          <w:highlight w:val="none"/>
        </w:rPr>
        <w:t>比较法、因素分析法、</w:t>
      </w:r>
      <w:r>
        <w:rPr>
          <w:rFonts w:hint="eastAsia" w:ascii="仿宋_GB2312" w:hAnsi="等线"/>
          <w:color w:val="auto"/>
          <w:sz w:val="32"/>
          <w:szCs w:val="32"/>
          <w:highlight w:val="none"/>
          <w:lang w:val="en-US" w:eastAsia="zh-CN"/>
        </w:rPr>
        <w:t>数据核对法</w:t>
      </w:r>
      <w:r>
        <w:rPr>
          <w:rFonts w:hint="eastAsia" w:ascii="仿宋_GB2312" w:hAnsi="等线"/>
          <w:color w:val="auto"/>
          <w:sz w:val="32"/>
          <w:szCs w:val="32"/>
          <w:highlight w:val="none"/>
          <w:lang w:eastAsia="zh-CN"/>
        </w:rPr>
        <w:t>、</w:t>
      </w:r>
      <w:r>
        <w:rPr>
          <w:rFonts w:hint="eastAsia" w:ascii="仿宋_GB2312" w:hAnsi="等线"/>
          <w:color w:val="auto"/>
          <w:sz w:val="32"/>
          <w:szCs w:val="32"/>
          <w:highlight w:val="none"/>
        </w:rPr>
        <w:t>专家</w:t>
      </w:r>
      <w:r>
        <w:rPr>
          <w:rFonts w:hint="eastAsia" w:ascii="仿宋_GB2312" w:hAnsi="等线"/>
          <w:color w:val="auto"/>
          <w:sz w:val="32"/>
          <w:szCs w:val="32"/>
          <w:highlight w:val="none"/>
          <w:lang w:val="en-US" w:eastAsia="zh-CN"/>
        </w:rPr>
        <w:t>评议</w:t>
      </w:r>
      <w:r>
        <w:rPr>
          <w:rFonts w:hint="eastAsia" w:ascii="仿宋_GB2312" w:hAnsi="等线"/>
          <w:color w:val="auto"/>
          <w:sz w:val="32"/>
          <w:szCs w:val="32"/>
          <w:highlight w:val="none"/>
        </w:rPr>
        <w:t>法、文献研究法</w:t>
      </w:r>
      <w:r>
        <w:rPr>
          <w:rFonts w:hint="eastAsia" w:ascii="仿宋_GB2312"/>
          <w:color w:val="auto"/>
          <w:sz w:val="32"/>
          <w:szCs w:val="32"/>
          <w:highlight w:val="none"/>
        </w:rPr>
        <w:t>等方法，对项目决策、过程、产出、效益四方面进行综合评价。</w:t>
      </w:r>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（1）比较法。</w:t>
      </w:r>
      <w:r>
        <w:rPr>
          <w:rFonts w:hint="eastAsia" w:ascii="仿宋_GB2312" w:hAnsi="仿宋_GB2312" w:eastAsia="仿宋_GB2312" w:cs="仿宋_GB2312"/>
          <w:b w:val="0"/>
          <w:bCs/>
          <w:color w:val="auto"/>
          <w:sz w:val="32"/>
          <w:szCs w:val="32"/>
          <w:highlight w:val="none"/>
        </w:rPr>
        <w:t>通过对项目绩效目标与绩效结果、评价期情况与历史情况，综合分析评价无线电管理经费支出绩效。</w:t>
      </w:r>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（2）因素分析法。</w:t>
      </w:r>
      <w:r>
        <w:rPr>
          <w:rFonts w:hint="eastAsia" w:ascii="仿宋_GB2312" w:hAnsi="仿宋_GB2312" w:eastAsia="仿宋_GB2312" w:cs="仿宋_GB2312"/>
          <w:b w:val="0"/>
          <w:bCs/>
          <w:color w:val="auto"/>
          <w:sz w:val="32"/>
          <w:szCs w:val="32"/>
          <w:highlight w:val="none"/>
        </w:rPr>
        <w:t>通过综合分析影响绩效目标实现、实施效益的内外因素，评判无线电管理经费支出绩效。</w:t>
      </w:r>
    </w:p>
    <w:p>
      <w:pPr>
        <w:adjustRightInd w:val="0"/>
        <w:snapToGrid w:val="0"/>
        <w:spacing w:line="360" w:lineRule="auto"/>
        <w:ind w:firstLine="640" w:firstLineChars="200"/>
        <w:rPr>
          <w:rFonts w:hint="eastAsia" w:ascii="仿宋_GB2312" w:hAnsi="等线"/>
          <w:color w:val="auto"/>
          <w:sz w:val="32"/>
          <w:szCs w:val="32"/>
          <w:highlight w:val="none"/>
        </w:rPr>
      </w:pPr>
      <w:r>
        <w:rPr>
          <w:rFonts w:hint="eastAsia" w:ascii="仿宋_GB2312" w:hAnsi="等线"/>
          <w:color w:val="auto"/>
          <w:sz w:val="32"/>
          <w:szCs w:val="32"/>
          <w:highlight w:val="none"/>
        </w:rPr>
        <w:t>（</w:t>
      </w:r>
      <w:r>
        <w:rPr>
          <w:rFonts w:hint="eastAsia" w:ascii="仿宋_GB2312" w:hAnsi="等线"/>
          <w:color w:val="auto"/>
          <w:sz w:val="32"/>
          <w:szCs w:val="32"/>
          <w:highlight w:val="none"/>
          <w:lang w:val="en-US" w:eastAsia="zh-CN"/>
        </w:rPr>
        <w:t>3</w:t>
      </w:r>
      <w:r>
        <w:rPr>
          <w:rFonts w:hint="eastAsia" w:ascii="仿宋_GB2312" w:hAnsi="等线"/>
          <w:color w:val="auto"/>
          <w:sz w:val="32"/>
          <w:szCs w:val="32"/>
          <w:highlight w:val="none"/>
        </w:rPr>
        <w:t>）</w:t>
      </w:r>
      <w:r>
        <w:rPr>
          <w:rFonts w:hint="eastAsia" w:ascii="仿宋_GB2312" w:hAnsi="等线"/>
          <w:color w:val="auto"/>
          <w:sz w:val="32"/>
          <w:szCs w:val="32"/>
          <w:highlight w:val="none"/>
          <w:lang w:val="en-US" w:eastAsia="zh-CN"/>
        </w:rPr>
        <w:t>数据核对</w:t>
      </w:r>
      <w:r>
        <w:rPr>
          <w:rFonts w:hint="eastAsia" w:ascii="仿宋_GB2312" w:hAnsi="等线"/>
          <w:color w:val="auto"/>
          <w:sz w:val="32"/>
          <w:szCs w:val="32"/>
          <w:highlight w:val="none"/>
        </w:rPr>
        <w:t>法。</w:t>
      </w:r>
      <w:r>
        <w:rPr>
          <w:rFonts w:hint="eastAsia" w:ascii="仿宋_GB2312" w:hAnsi="仿宋_GB2312" w:eastAsia="仿宋_GB2312" w:cs="仿宋_GB2312"/>
          <w:b w:val="0"/>
          <w:bCs/>
          <w:color w:val="auto"/>
          <w:sz w:val="32"/>
          <w:szCs w:val="32"/>
          <w:highlight w:val="none"/>
        </w:rPr>
        <w:t>对无线电管理经费绩效目标和绩效报告中涉及数量的部分与项目单位提交的数据支撑材料进行核对，如将项目明细账、会计凭证等财务凭证与相应的项目支出金额进行核对，将各类具体工作完成数量与产出数量进行核对，以核实相关数据的准确性和财务管理的合规性。</w:t>
      </w:r>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w:t>
      </w:r>
      <w:r>
        <w:rPr>
          <w:rFonts w:hint="eastAsia" w:ascii="仿宋_GB2312" w:hAnsi="等线"/>
          <w:color w:val="auto"/>
          <w:sz w:val="32"/>
          <w:szCs w:val="32"/>
          <w:highlight w:val="none"/>
          <w:lang w:val="en-US" w:eastAsia="zh-CN"/>
        </w:rPr>
        <w:t>4</w:t>
      </w:r>
      <w:r>
        <w:rPr>
          <w:rFonts w:hint="eastAsia" w:ascii="仿宋_GB2312" w:hAnsi="等线"/>
          <w:color w:val="auto"/>
          <w:sz w:val="32"/>
          <w:szCs w:val="32"/>
          <w:highlight w:val="none"/>
        </w:rPr>
        <w:t>）专家评议法。通过绩效管理、财政、财务、无线电业务等专家评估，</w:t>
      </w:r>
      <w:r>
        <w:rPr>
          <w:rFonts w:hint="eastAsia" w:ascii="仿宋_GB2312" w:hAnsi="仿宋_GB2312" w:cs="仿宋_GB2312"/>
          <w:bCs/>
          <w:color w:val="auto"/>
          <w:sz w:val="32"/>
          <w:szCs w:val="32"/>
          <w:highlight w:val="none"/>
        </w:rPr>
        <w:t>共同对项目决策科学性、管理规范性、绩效实现程度进行评议，</w:t>
      </w:r>
      <w:r>
        <w:rPr>
          <w:rFonts w:hint="eastAsia" w:ascii="仿宋_GB2312" w:hAnsi="等线"/>
          <w:color w:val="auto"/>
          <w:sz w:val="32"/>
          <w:szCs w:val="32"/>
          <w:highlight w:val="none"/>
        </w:rPr>
        <w:t>评价绩效目标的实现程度。</w:t>
      </w:r>
    </w:p>
    <w:p>
      <w:pPr>
        <w:adjustRightInd w:val="0"/>
        <w:snapToGrid w:val="0"/>
        <w:spacing w:line="360" w:lineRule="auto"/>
        <w:ind w:firstLine="640" w:firstLineChars="200"/>
        <w:rPr>
          <w:rFonts w:ascii="仿宋_GB2312"/>
          <w:color w:val="auto"/>
          <w:sz w:val="32"/>
          <w:szCs w:val="32"/>
          <w:highlight w:val="none"/>
        </w:rPr>
      </w:pPr>
      <w:r>
        <w:rPr>
          <w:rFonts w:hint="eastAsia" w:ascii="仿宋_GB2312"/>
          <w:color w:val="auto"/>
          <w:sz w:val="32"/>
          <w:szCs w:val="32"/>
          <w:highlight w:val="none"/>
        </w:rPr>
        <w:t>（</w:t>
      </w:r>
      <w:r>
        <w:rPr>
          <w:rFonts w:hint="eastAsia" w:ascii="仿宋_GB2312"/>
          <w:color w:val="auto"/>
          <w:sz w:val="32"/>
          <w:szCs w:val="32"/>
          <w:highlight w:val="none"/>
          <w:lang w:val="en-US" w:eastAsia="zh-CN"/>
        </w:rPr>
        <w:t>5</w:t>
      </w:r>
      <w:r>
        <w:rPr>
          <w:rFonts w:hint="eastAsia" w:ascii="仿宋_GB2312"/>
          <w:color w:val="auto"/>
          <w:sz w:val="32"/>
          <w:szCs w:val="32"/>
          <w:highlight w:val="none"/>
        </w:rPr>
        <w:t>）文献研究法。</w:t>
      </w:r>
      <w:r>
        <w:rPr>
          <w:rFonts w:hint="eastAsia" w:ascii="仿宋_GB2312" w:hAnsi="仿宋_GB2312" w:eastAsia="仿宋_GB2312" w:cs="仿宋_GB2312"/>
          <w:b w:val="0"/>
          <w:bCs/>
          <w:color w:val="auto"/>
          <w:sz w:val="32"/>
          <w:szCs w:val="32"/>
          <w:highlight w:val="none"/>
        </w:rPr>
        <w:t>通过分析近年来无线电管理经费支出的相关资料，综合分析经费支出绩效管理水平。</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58" w:name="_Toc6563"/>
      <w:bookmarkStart w:id="59" w:name="_Toc5998"/>
      <w:bookmarkStart w:id="60" w:name="_Toc10171"/>
      <w:r>
        <w:rPr>
          <w:rFonts w:hint="eastAsia" w:ascii="仿宋_GB2312" w:hAnsi="仿宋_GB2312" w:cs="仿宋_GB2312"/>
          <w:iCs/>
          <w:color w:val="auto"/>
          <w:sz w:val="32"/>
          <w:szCs w:val="32"/>
          <w:highlight w:val="none"/>
        </w:rPr>
        <w:t>2.评价指标体系</w:t>
      </w:r>
      <w:bookmarkEnd w:id="58"/>
      <w:bookmarkEnd w:id="59"/>
      <w:bookmarkEnd w:id="60"/>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本次绩效评价指标体系采用</w:t>
      </w:r>
      <w:r>
        <w:rPr>
          <w:rFonts w:hint="eastAsia" w:ascii="仿宋_GB2312"/>
          <w:color w:val="auto"/>
          <w:sz w:val="32"/>
          <w:szCs w:val="32"/>
          <w:highlight w:val="none"/>
        </w:rPr>
        <w:t>《无线电频率占用费转移支付资金支出绩效评价办法》（工信厅无函〔2022〕175号）</w:t>
      </w:r>
      <w:r>
        <w:rPr>
          <w:rFonts w:hint="eastAsia" w:ascii="仿宋_GB2312" w:hAnsi="等线"/>
          <w:color w:val="auto"/>
          <w:sz w:val="32"/>
          <w:szCs w:val="32"/>
          <w:highlight w:val="none"/>
        </w:rPr>
        <w:t>的共性指标体系（详见附件1）。包括决策、过程、产出、效益四个一级指标。</w:t>
      </w:r>
      <w:r>
        <w:rPr>
          <w:rFonts w:hint="eastAsia" w:ascii="仿宋_GB2312" w:hAnsi="等线"/>
          <w:b/>
          <w:bCs/>
          <w:color w:val="auto"/>
          <w:sz w:val="32"/>
          <w:szCs w:val="32"/>
          <w:highlight w:val="none"/>
        </w:rPr>
        <w:t>决策</w:t>
      </w:r>
      <w:r>
        <w:rPr>
          <w:rFonts w:hint="eastAsia" w:ascii="仿宋_GB2312" w:hAnsi="等线"/>
          <w:color w:val="auto"/>
          <w:sz w:val="32"/>
          <w:szCs w:val="32"/>
          <w:highlight w:val="none"/>
        </w:rPr>
        <w:t>主要考核项目立项依据充分性、立项程序规范性等立项情况，绩效目标合理性、明确性等</w:t>
      </w:r>
      <w:r>
        <w:rPr>
          <w:rFonts w:hint="eastAsia" w:ascii="仿宋_GB2312"/>
          <w:color w:val="auto"/>
          <w:sz w:val="32"/>
          <w:szCs w:val="32"/>
          <w:highlight w:val="none"/>
        </w:rPr>
        <w:t>绩效目标设置情况</w:t>
      </w:r>
      <w:r>
        <w:rPr>
          <w:rFonts w:hint="eastAsia" w:ascii="仿宋_GB2312" w:hAnsi="等线"/>
          <w:color w:val="auto"/>
          <w:sz w:val="32"/>
          <w:szCs w:val="32"/>
          <w:highlight w:val="none"/>
        </w:rPr>
        <w:t>，资金分配合理性等资金投入情况。</w:t>
      </w:r>
      <w:r>
        <w:rPr>
          <w:rFonts w:hint="eastAsia" w:ascii="仿宋_GB2312" w:hAnsi="等线"/>
          <w:b/>
          <w:bCs/>
          <w:color w:val="auto"/>
          <w:sz w:val="32"/>
          <w:szCs w:val="32"/>
          <w:highlight w:val="none"/>
        </w:rPr>
        <w:t>过程</w:t>
      </w:r>
      <w:r>
        <w:rPr>
          <w:rFonts w:hint="eastAsia" w:ascii="仿宋_GB2312" w:hAnsi="等线"/>
          <w:color w:val="auto"/>
          <w:sz w:val="32"/>
          <w:szCs w:val="32"/>
          <w:highlight w:val="none"/>
        </w:rPr>
        <w:t>主要考核</w:t>
      </w:r>
      <w:r>
        <w:rPr>
          <w:rFonts w:hint="eastAsia" w:ascii="仿宋_GB2312"/>
          <w:color w:val="auto"/>
          <w:sz w:val="32"/>
          <w:szCs w:val="32"/>
          <w:highlight w:val="none"/>
        </w:rPr>
        <w:t>资金到位率、资金到位及时性、资金使用合规性、预算执行率、资金结转结余等项目资金管理情况，相关管理制度的健全性和执行有效性等项目组织实施情况</w:t>
      </w:r>
      <w:r>
        <w:rPr>
          <w:rFonts w:hint="eastAsia" w:ascii="仿宋_GB2312" w:hAnsi="等线"/>
          <w:color w:val="auto"/>
          <w:sz w:val="32"/>
          <w:szCs w:val="32"/>
          <w:highlight w:val="none"/>
        </w:rPr>
        <w:t>。</w:t>
      </w:r>
      <w:r>
        <w:rPr>
          <w:rFonts w:hint="eastAsia" w:ascii="仿宋_GB2312" w:hAnsi="等线"/>
          <w:b/>
          <w:bCs/>
          <w:color w:val="auto"/>
          <w:sz w:val="32"/>
          <w:szCs w:val="32"/>
          <w:highlight w:val="none"/>
        </w:rPr>
        <w:t>产出</w:t>
      </w:r>
      <w:r>
        <w:rPr>
          <w:rFonts w:hint="eastAsia" w:ascii="仿宋_GB2312" w:hAnsi="等线"/>
          <w:color w:val="auto"/>
          <w:sz w:val="32"/>
          <w:szCs w:val="32"/>
          <w:highlight w:val="none"/>
        </w:rPr>
        <w:t>主要考核各子项目产出</w:t>
      </w:r>
      <w:r>
        <w:rPr>
          <w:rFonts w:hint="eastAsia" w:ascii="仿宋_GB2312"/>
          <w:color w:val="auto"/>
          <w:sz w:val="32"/>
          <w:szCs w:val="32"/>
          <w:highlight w:val="none"/>
        </w:rPr>
        <w:t>完成数、质量达标率、完成及时性、成本控制情况。</w:t>
      </w:r>
      <w:r>
        <w:rPr>
          <w:rFonts w:hint="eastAsia" w:ascii="仿宋_GB2312" w:hAnsi="等线"/>
          <w:b/>
          <w:bCs/>
          <w:color w:val="auto"/>
          <w:sz w:val="32"/>
          <w:szCs w:val="32"/>
          <w:highlight w:val="none"/>
        </w:rPr>
        <w:t>效益</w:t>
      </w:r>
      <w:r>
        <w:rPr>
          <w:rFonts w:hint="eastAsia" w:ascii="仿宋_GB2312" w:hAnsi="等线"/>
          <w:color w:val="auto"/>
          <w:sz w:val="32"/>
          <w:szCs w:val="32"/>
          <w:highlight w:val="none"/>
        </w:rPr>
        <w:t>主要考核项目的社会效益、经济效益、可持续影响及服务对象的满意度情况。</w:t>
      </w:r>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本次绩效评价结果采取评分与评级相结合的形式，满分为100分。具体分值和等级设定如下</w:t>
      </w:r>
      <w:r>
        <w:rPr>
          <w:rFonts w:hint="eastAsia" w:ascii="仿宋_GB2312" w:hAnsi="等线"/>
          <w:color w:val="auto"/>
          <w:sz w:val="32"/>
          <w:szCs w:val="32"/>
          <w:highlight w:val="none"/>
          <w:lang w:eastAsia="zh-CN"/>
        </w:rPr>
        <w:t>：</w:t>
      </w:r>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综合得分在90</w:t>
      </w:r>
      <w:r>
        <w:rPr>
          <w:rFonts w:hint="eastAsia" w:ascii="仿宋_GB2312" w:hAnsi="等线"/>
          <w:color w:val="auto"/>
          <w:sz w:val="32"/>
          <w:szCs w:val="32"/>
          <w:highlight w:val="none"/>
          <w:lang w:eastAsia="zh-CN"/>
        </w:rPr>
        <w:t>—</w:t>
      </w:r>
      <w:r>
        <w:rPr>
          <w:rFonts w:hint="eastAsia" w:ascii="仿宋_GB2312" w:hAnsi="等线"/>
          <w:color w:val="auto"/>
          <w:sz w:val="32"/>
          <w:szCs w:val="32"/>
          <w:highlight w:val="none"/>
        </w:rPr>
        <w:t>100分（含90分）为优秀；</w:t>
      </w:r>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综合得分在80</w:t>
      </w:r>
      <w:r>
        <w:rPr>
          <w:rFonts w:hint="eastAsia" w:ascii="仿宋_GB2312" w:hAnsi="等线"/>
          <w:color w:val="auto"/>
          <w:sz w:val="32"/>
          <w:szCs w:val="32"/>
          <w:highlight w:val="none"/>
          <w:lang w:eastAsia="zh-CN"/>
        </w:rPr>
        <w:t>—</w:t>
      </w:r>
      <w:r>
        <w:rPr>
          <w:rFonts w:hint="eastAsia" w:ascii="仿宋_GB2312" w:hAnsi="等线"/>
          <w:color w:val="auto"/>
          <w:sz w:val="32"/>
          <w:szCs w:val="32"/>
          <w:highlight w:val="none"/>
        </w:rPr>
        <w:t>90分（含80分）为良好；</w:t>
      </w:r>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综合得分在60</w:t>
      </w:r>
      <w:r>
        <w:rPr>
          <w:rFonts w:hint="eastAsia" w:ascii="仿宋_GB2312" w:hAnsi="等线"/>
          <w:color w:val="auto"/>
          <w:sz w:val="32"/>
          <w:szCs w:val="32"/>
          <w:highlight w:val="none"/>
          <w:lang w:eastAsia="zh-CN"/>
        </w:rPr>
        <w:t>—</w:t>
      </w:r>
      <w:r>
        <w:rPr>
          <w:rFonts w:hint="eastAsia" w:ascii="仿宋_GB2312" w:hAnsi="等线"/>
          <w:color w:val="auto"/>
          <w:sz w:val="32"/>
          <w:szCs w:val="32"/>
          <w:highlight w:val="none"/>
        </w:rPr>
        <w:t>80分（含60分）为合格；</w:t>
      </w:r>
    </w:p>
    <w:p>
      <w:pPr>
        <w:adjustRightInd w:val="0"/>
        <w:snapToGrid w:val="0"/>
        <w:spacing w:line="360" w:lineRule="auto"/>
        <w:ind w:firstLine="640" w:firstLineChars="200"/>
        <w:rPr>
          <w:rFonts w:ascii="仿宋_GB2312" w:hAnsi="等线"/>
          <w:color w:val="auto"/>
          <w:sz w:val="32"/>
          <w:szCs w:val="32"/>
          <w:highlight w:val="none"/>
        </w:rPr>
      </w:pPr>
      <w:r>
        <w:rPr>
          <w:rFonts w:hint="eastAsia" w:ascii="仿宋_GB2312" w:hAnsi="等线"/>
          <w:color w:val="auto"/>
          <w:sz w:val="32"/>
          <w:szCs w:val="32"/>
          <w:highlight w:val="none"/>
        </w:rPr>
        <w:t>综合得分在60分以下为不合格。</w:t>
      </w:r>
    </w:p>
    <w:p>
      <w:pPr>
        <w:pStyle w:val="3"/>
        <w:keepNext w:val="0"/>
        <w:keepLines w:val="0"/>
        <w:adjustRightInd w:val="0"/>
        <w:snapToGrid w:val="0"/>
        <w:spacing w:before="0" w:after="0" w:line="360" w:lineRule="auto"/>
        <w:ind w:firstLine="640" w:firstLineChars="200"/>
        <w:rPr>
          <w:rFonts w:ascii="楷体_GB2312" w:hAnsi="等线" w:eastAsia="楷体_GB2312" w:cs="Times New Roman"/>
          <w:b w:val="0"/>
          <w:bCs w:val="0"/>
          <w:color w:val="auto"/>
          <w:highlight w:val="none"/>
        </w:rPr>
      </w:pPr>
      <w:bookmarkStart w:id="61" w:name="_Toc10660"/>
      <w:bookmarkStart w:id="62" w:name="_Toc11670"/>
      <w:bookmarkStart w:id="63" w:name="_Toc24061"/>
      <w:bookmarkStart w:id="64" w:name="_Toc55475189"/>
      <w:bookmarkStart w:id="65" w:name="_Toc16416"/>
      <w:r>
        <w:rPr>
          <w:rFonts w:hint="eastAsia" w:ascii="楷体_GB2312" w:hAnsi="等线" w:eastAsia="楷体_GB2312" w:cs="Times New Roman"/>
          <w:b w:val="0"/>
          <w:bCs w:val="0"/>
          <w:color w:val="auto"/>
          <w:highlight w:val="none"/>
        </w:rPr>
        <w:t>（三）绩效评价工作过程</w:t>
      </w:r>
      <w:bookmarkEnd w:id="61"/>
      <w:bookmarkEnd w:id="62"/>
      <w:bookmarkEnd w:id="63"/>
      <w:bookmarkEnd w:id="64"/>
      <w:bookmarkEnd w:id="65"/>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66" w:name="_Toc28161"/>
      <w:bookmarkStart w:id="67" w:name="_Toc844"/>
      <w:bookmarkStart w:id="68" w:name="_Toc1446"/>
      <w:r>
        <w:rPr>
          <w:rFonts w:hint="eastAsia" w:ascii="仿宋_GB2312" w:hAnsi="仿宋_GB2312" w:cs="仿宋_GB2312"/>
          <w:iCs/>
          <w:color w:val="auto"/>
          <w:sz w:val="32"/>
          <w:szCs w:val="32"/>
          <w:highlight w:val="none"/>
        </w:rPr>
        <w:t>1.前期准备</w:t>
      </w:r>
      <w:bookmarkEnd w:id="66"/>
      <w:bookmarkEnd w:id="67"/>
      <w:bookmarkEnd w:id="68"/>
    </w:p>
    <w:p>
      <w:pPr>
        <w:adjustRightInd w:val="0"/>
        <w:snapToGrid w:val="0"/>
        <w:spacing w:line="360" w:lineRule="auto"/>
        <w:ind w:firstLine="640" w:firstLineChars="200"/>
        <w:rPr>
          <w:rFonts w:ascii="仿宋_GB2312" w:hAnsi="仿宋_GB2312" w:cs="仿宋_GB2312"/>
          <w:color w:val="auto"/>
          <w:sz w:val="32"/>
          <w:szCs w:val="32"/>
          <w:highlight w:val="none"/>
        </w:rPr>
      </w:pPr>
      <w:bookmarkStart w:id="69" w:name="_Toc336506960"/>
      <w:bookmarkStart w:id="70" w:name="_Toc336506895"/>
      <w:r>
        <w:rPr>
          <w:rFonts w:hint="eastAsia" w:ascii="仿宋_GB2312" w:hAnsi="仿宋_GB2312" w:cs="仿宋_GB2312"/>
          <w:color w:val="auto"/>
          <w:sz w:val="32"/>
          <w:szCs w:val="32"/>
          <w:highlight w:val="none"/>
        </w:rPr>
        <w:t>在明确委托方要求的前提下，评价机构组建了评价工作组，</w:t>
      </w:r>
      <w:r>
        <w:rPr>
          <w:rFonts w:hint="eastAsia" w:ascii="仿宋_GB2312" w:hAnsi="仿宋_GB2312" w:cs="仿宋_GB2312"/>
          <w:color w:val="auto"/>
          <w:sz w:val="32"/>
          <w:szCs w:val="32"/>
          <w:highlight w:val="none"/>
          <w:lang w:val="en-US" w:eastAsia="zh-CN"/>
        </w:rPr>
        <w:t>于2024年4月1日</w:t>
      </w:r>
      <w:r>
        <w:rPr>
          <w:rFonts w:hint="eastAsia" w:ascii="仿宋_GB2312" w:hAnsi="仿宋_GB2312" w:cs="仿宋_GB2312"/>
          <w:color w:val="auto"/>
          <w:sz w:val="32"/>
          <w:szCs w:val="32"/>
          <w:highlight w:val="none"/>
        </w:rPr>
        <w:t>前往</w:t>
      </w:r>
      <w:r>
        <w:rPr>
          <w:rFonts w:hint="eastAsia" w:ascii="仿宋_GB2312" w:hAnsi="仿宋_GB2312" w:cs="仿宋_GB2312"/>
          <w:color w:val="auto"/>
          <w:sz w:val="32"/>
          <w:szCs w:val="32"/>
          <w:highlight w:val="none"/>
          <w:lang w:val="en-US" w:eastAsia="zh-CN"/>
        </w:rPr>
        <w:t>项目单位</w:t>
      </w:r>
      <w:r>
        <w:rPr>
          <w:rFonts w:hint="eastAsia" w:ascii="仿宋_GB2312" w:hAnsi="仿宋_GB2312" w:cs="仿宋_GB2312"/>
          <w:color w:val="auto"/>
          <w:sz w:val="32"/>
          <w:szCs w:val="32"/>
          <w:highlight w:val="none"/>
        </w:rPr>
        <w:t>开展</w:t>
      </w:r>
      <w:r>
        <w:rPr>
          <w:rFonts w:hint="eastAsia" w:ascii="仿宋_GB2312" w:hAnsi="仿宋_GB2312" w:cs="仿宋_GB2312"/>
          <w:color w:val="auto"/>
          <w:sz w:val="32"/>
          <w:szCs w:val="32"/>
          <w:highlight w:val="none"/>
          <w:lang w:val="en-US" w:eastAsia="zh-CN"/>
        </w:rPr>
        <w:t>入户调研，明确需收集的资料清单，</w:t>
      </w:r>
      <w:r>
        <w:rPr>
          <w:rFonts w:hint="eastAsia" w:ascii="仿宋_GB2312" w:hAnsi="仿宋_GB2312" w:cs="仿宋_GB2312"/>
          <w:color w:val="auto"/>
          <w:sz w:val="32"/>
          <w:szCs w:val="32"/>
          <w:highlight w:val="none"/>
        </w:rPr>
        <w:t>现场沟通</w:t>
      </w:r>
      <w:r>
        <w:rPr>
          <w:rFonts w:hint="eastAsia" w:ascii="仿宋_GB2312" w:hAnsi="仿宋_GB2312" w:cs="仿宋_GB2312"/>
          <w:color w:val="auto"/>
          <w:sz w:val="32"/>
          <w:szCs w:val="32"/>
          <w:highlight w:val="none"/>
          <w:lang w:val="en-US" w:eastAsia="zh-CN"/>
        </w:rPr>
        <w:t>确定后续评价工作安排</w:t>
      </w:r>
      <w:r>
        <w:rPr>
          <w:rFonts w:hint="eastAsia" w:ascii="仿宋_GB2312" w:hAnsi="仿宋_GB2312" w:cs="仿宋_GB2312"/>
          <w:color w:val="auto"/>
          <w:sz w:val="32"/>
          <w:szCs w:val="32"/>
          <w:highlight w:val="none"/>
        </w:rPr>
        <w:t>；完成专家遴选、专家培训等相关工作，组建绩效评价专家组，包括1名绩效管理专家、1名财务专家、</w:t>
      </w:r>
      <w:r>
        <w:rPr>
          <w:rFonts w:ascii="仿宋_GB2312" w:hAnsi="仿宋_GB2312" w:cs="仿宋_GB2312"/>
          <w:color w:val="auto"/>
          <w:sz w:val="32"/>
          <w:szCs w:val="32"/>
          <w:highlight w:val="none"/>
        </w:rPr>
        <w:t>3</w:t>
      </w:r>
      <w:r>
        <w:rPr>
          <w:rFonts w:hint="eastAsia" w:ascii="仿宋_GB2312" w:hAnsi="仿宋_GB2312" w:cs="仿宋_GB2312"/>
          <w:color w:val="auto"/>
          <w:sz w:val="32"/>
          <w:szCs w:val="32"/>
          <w:highlight w:val="none"/>
        </w:rPr>
        <w:t>名通信工程、信息化管理专家。</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71" w:name="_Toc21533"/>
      <w:bookmarkStart w:id="72" w:name="_Toc23296"/>
      <w:bookmarkStart w:id="73" w:name="_Toc335"/>
      <w:r>
        <w:rPr>
          <w:rFonts w:hint="eastAsia" w:ascii="仿宋_GB2312" w:hAnsi="仿宋_GB2312" w:cs="仿宋_GB2312"/>
          <w:iCs/>
          <w:color w:val="auto"/>
          <w:sz w:val="32"/>
          <w:szCs w:val="32"/>
          <w:highlight w:val="none"/>
        </w:rPr>
        <w:t>2.组织实施</w:t>
      </w:r>
      <w:bookmarkEnd w:id="71"/>
      <w:bookmarkEnd w:id="72"/>
      <w:bookmarkEnd w:id="73"/>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评价工作组</w:t>
      </w:r>
      <w:r>
        <w:rPr>
          <w:rFonts w:hint="eastAsia" w:ascii="仿宋_GB2312" w:hAnsi="仿宋_GB2312" w:cs="仿宋_GB2312"/>
          <w:color w:val="auto"/>
          <w:sz w:val="32"/>
          <w:szCs w:val="32"/>
          <w:highlight w:val="none"/>
          <w:lang w:val="en-US" w:eastAsia="zh-CN"/>
        </w:rPr>
        <w:t>按照工作计划开展</w:t>
      </w:r>
      <w:r>
        <w:rPr>
          <w:rFonts w:hint="eastAsia" w:ascii="仿宋_GB2312" w:hAnsi="仿宋_GB2312" w:cs="仿宋_GB2312"/>
          <w:color w:val="auto"/>
          <w:sz w:val="32"/>
          <w:szCs w:val="32"/>
          <w:highlight w:val="none"/>
        </w:rPr>
        <w:t>项目资料收集、整理和分析工作</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4月8日至4月21日，</w:t>
      </w:r>
      <w:r>
        <w:rPr>
          <w:rFonts w:hint="eastAsia" w:ascii="仿宋_GB2312" w:hAnsi="仿宋_GB2312" w:cs="仿宋_GB2312"/>
          <w:color w:val="auto"/>
          <w:sz w:val="32"/>
          <w:szCs w:val="32"/>
          <w:highlight w:val="none"/>
        </w:rPr>
        <w:t>评价工作组</w:t>
      </w:r>
      <w:r>
        <w:rPr>
          <w:rFonts w:hint="eastAsia" w:ascii="仿宋_GB2312" w:hAnsi="仿宋_GB2312" w:cs="仿宋_GB2312"/>
          <w:color w:val="auto"/>
          <w:sz w:val="32"/>
          <w:szCs w:val="32"/>
          <w:highlight w:val="none"/>
          <w:lang w:val="en-US" w:eastAsia="zh-CN"/>
        </w:rPr>
        <w:t>对项目单位提交的项目资料进行整理分析，梳理各项目存在的疑问点并拟定了现场调研安排。4月22日，评价工作组及专家到项目单位开展</w:t>
      </w:r>
      <w:r>
        <w:rPr>
          <w:rFonts w:hint="eastAsia" w:ascii="仿宋_GB2312" w:hAnsi="仿宋_GB2312" w:cs="仿宋_GB2312"/>
          <w:color w:val="auto"/>
          <w:sz w:val="32"/>
          <w:szCs w:val="32"/>
          <w:highlight w:val="none"/>
        </w:rPr>
        <w:t>现场调研，现场</w:t>
      </w:r>
      <w:r>
        <w:rPr>
          <w:rFonts w:hint="eastAsia" w:ascii="仿宋_GB2312" w:hAnsi="仿宋_GB2312" w:cs="仿宋_GB2312"/>
          <w:color w:val="auto"/>
          <w:sz w:val="32"/>
          <w:szCs w:val="32"/>
          <w:highlight w:val="none"/>
          <w:lang w:val="en-US" w:eastAsia="zh-CN"/>
        </w:rPr>
        <w:t>沟通</w:t>
      </w:r>
      <w:r>
        <w:rPr>
          <w:rFonts w:hint="eastAsia" w:ascii="仿宋_GB2312" w:hAnsi="仿宋_GB2312" w:cs="仿宋_GB2312"/>
          <w:color w:val="auto"/>
          <w:sz w:val="32"/>
          <w:szCs w:val="32"/>
          <w:highlight w:val="none"/>
        </w:rPr>
        <w:t>相关项目疑问点</w:t>
      </w:r>
      <w:r>
        <w:rPr>
          <w:rFonts w:hint="eastAsia" w:ascii="仿宋_GB2312" w:hAnsi="仿宋_GB2312" w:cs="仿宋_GB2312"/>
          <w:color w:val="auto"/>
          <w:sz w:val="32"/>
          <w:szCs w:val="32"/>
          <w:highlight w:val="none"/>
          <w:lang w:val="en-US" w:eastAsia="zh-CN"/>
        </w:rPr>
        <w:t>，查阅项目立项申报、政府采购、资金支出、总结验收等环节涉及的相关</w:t>
      </w:r>
      <w:r>
        <w:rPr>
          <w:rFonts w:hint="eastAsia" w:ascii="仿宋_GB2312" w:hAnsi="仿宋_GB2312" w:cs="仿宋_GB2312"/>
          <w:color w:val="auto"/>
          <w:sz w:val="32"/>
          <w:szCs w:val="32"/>
          <w:highlight w:val="none"/>
        </w:rPr>
        <w:t>资料</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4月</w:t>
      </w:r>
      <w:r>
        <w:rPr>
          <w:rFonts w:hint="eastAsia" w:ascii="仿宋_GB2312" w:hAnsi="仿宋_GB2312" w:cs="仿宋_GB2312"/>
          <w:color w:val="auto"/>
          <w:sz w:val="32"/>
          <w:szCs w:val="32"/>
          <w:highlight w:val="none"/>
          <w:lang w:val="en-US" w:eastAsia="zh-CN"/>
        </w:rPr>
        <w:t>29</w:t>
      </w:r>
      <w:r>
        <w:rPr>
          <w:rFonts w:hint="eastAsia" w:ascii="仿宋_GB2312" w:hAnsi="仿宋_GB2312" w:cs="仿宋_GB2312"/>
          <w:color w:val="auto"/>
          <w:sz w:val="32"/>
          <w:szCs w:val="32"/>
          <w:highlight w:val="none"/>
        </w:rPr>
        <w:t>日</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评价工作组</w:t>
      </w:r>
      <w:r>
        <w:rPr>
          <w:rFonts w:hint="eastAsia" w:ascii="仿宋_GB2312" w:hAnsi="仿宋_GB2312" w:cs="仿宋_GB2312"/>
          <w:color w:val="auto"/>
          <w:sz w:val="32"/>
          <w:szCs w:val="32"/>
          <w:highlight w:val="none"/>
          <w:lang w:eastAsia="zh-CN"/>
        </w:rPr>
        <w:t>和</w:t>
      </w:r>
      <w:r>
        <w:rPr>
          <w:rFonts w:hint="eastAsia" w:ascii="仿宋_GB2312" w:hAnsi="仿宋_GB2312" w:cs="仿宋_GB2312"/>
          <w:color w:val="auto"/>
          <w:sz w:val="32"/>
          <w:szCs w:val="32"/>
          <w:highlight w:val="none"/>
        </w:rPr>
        <w:t>项目单位有关项目负责人</w:t>
      </w:r>
      <w:r>
        <w:rPr>
          <w:rFonts w:hint="eastAsia" w:ascii="仿宋_GB2312" w:hAnsi="仿宋_GB2312" w:cs="仿宋_GB2312"/>
          <w:color w:val="auto"/>
          <w:sz w:val="32"/>
          <w:szCs w:val="32"/>
          <w:highlight w:val="none"/>
          <w:lang w:val="en-US" w:eastAsia="zh-CN"/>
        </w:rPr>
        <w:t>共同</w:t>
      </w:r>
      <w:r>
        <w:rPr>
          <w:rFonts w:hint="eastAsia" w:ascii="仿宋_GB2312" w:hAnsi="仿宋_GB2312" w:cs="仿宋_GB2312"/>
          <w:color w:val="auto"/>
          <w:sz w:val="32"/>
          <w:szCs w:val="32"/>
          <w:highlight w:val="none"/>
        </w:rPr>
        <w:t>召开了项目评价会</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并邀请专家组参加</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评价工作组和专家组会上</w:t>
      </w:r>
      <w:r>
        <w:rPr>
          <w:rFonts w:hint="eastAsia" w:ascii="仿宋_GB2312" w:hAnsi="仿宋_GB2312" w:cs="仿宋_GB2312"/>
          <w:color w:val="auto"/>
          <w:sz w:val="32"/>
          <w:szCs w:val="32"/>
          <w:highlight w:val="none"/>
        </w:rPr>
        <w:t>就</w:t>
      </w:r>
      <w:r>
        <w:rPr>
          <w:rFonts w:hint="eastAsia" w:ascii="仿宋_GB2312" w:hAnsi="仿宋_GB2312" w:cs="仿宋_GB2312"/>
          <w:color w:val="auto"/>
          <w:sz w:val="32"/>
          <w:szCs w:val="32"/>
          <w:highlight w:val="none"/>
          <w:lang w:val="en-US" w:eastAsia="zh-CN"/>
        </w:rPr>
        <w:t>项目梳理过程中</w:t>
      </w:r>
      <w:r>
        <w:rPr>
          <w:rFonts w:hint="eastAsia" w:ascii="仿宋_GB2312" w:hAnsi="仿宋_GB2312" w:cs="仿宋_GB2312"/>
          <w:color w:val="auto"/>
          <w:sz w:val="32"/>
          <w:szCs w:val="32"/>
          <w:highlight w:val="none"/>
        </w:rPr>
        <w:t>发现的问题</w:t>
      </w:r>
      <w:r>
        <w:rPr>
          <w:rFonts w:hint="eastAsia" w:ascii="仿宋_GB2312" w:hAnsi="仿宋_GB2312" w:cs="仿宋_GB2312"/>
          <w:color w:val="auto"/>
          <w:sz w:val="32"/>
          <w:szCs w:val="32"/>
          <w:highlight w:val="none"/>
          <w:lang w:val="en-US" w:eastAsia="zh-CN"/>
        </w:rPr>
        <w:t>及疑问点</w:t>
      </w:r>
      <w:r>
        <w:rPr>
          <w:rFonts w:hint="eastAsia" w:ascii="仿宋_GB2312" w:hAnsi="仿宋_GB2312" w:cs="仿宋_GB2312"/>
          <w:color w:val="auto"/>
          <w:sz w:val="32"/>
          <w:szCs w:val="32"/>
          <w:highlight w:val="none"/>
        </w:rPr>
        <w:t>与项目单位相关人员进行了</w:t>
      </w:r>
      <w:r>
        <w:rPr>
          <w:rFonts w:hint="eastAsia" w:ascii="仿宋_GB2312" w:hAnsi="仿宋_GB2312" w:cs="仿宋_GB2312"/>
          <w:color w:val="auto"/>
          <w:sz w:val="32"/>
          <w:szCs w:val="32"/>
          <w:highlight w:val="none"/>
          <w:lang w:val="en-US" w:eastAsia="zh-CN"/>
        </w:rPr>
        <w:t>充分</w:t>
      </w:r>
      <w:r>
        <w:rPr>
          <w:rFonts w:hint="eastAsia" w:ascii="仿宋_GB2312" w:hAnsi="仿宋_GB2312" w:cs="仿宋_GB2312"/>
          <w:color w:val="auto"/>
          <w:sz w:val="32"/>
          <w:szCs w:val="32"/>
          <w:highlight w:val="none"/>
        </w:rPr>
        <w:t>沟通，专家组根据项目资料及沟通情况对项目进行了综合评价</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形成了专家整体结论和意见</w:t>
      </w:r>
      <w:r>
        <w:rPr>
          <w:rFonts w:hint="eastAsia" w:ascii="仿宋_GB2312" w:hAnsi="仿宋_GB2312" w:cs="仿宋_GB2312"/>
          <w:color w:val="auto"/>
          <w:sz w:val="32"/>
          <w:szCs w:val="32"/>
          <w:highlight w:val="none"/>
        </w:rPr>
        <w:t>。</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74" w:name="_Toc5054"/>
      <w:bookmarkStart w:id="75" w:name="_Toc29382"/>
      <w:bookmarkStart w:id="76" w:name="_Toc13948"/>
      <w:r>
        <w:rPr>
          <w:rFonts w:hint="eastAsia" w:ascii="仿宋_GB2312" w:hAnsi="仿宋_GB2312" w:cs="仿宋_GB2312"/>
          <w:iCs/>
          <w:color w:val="auto"/>
          <w:sz w:val="32"/>
          <w:szCs w:val="32"/>
          <w:highlight w:val="none"/>
        </w:rPr>
        <w:t>3.分析评价</w:t>
      </w:r>
      <w:bookmarkEnd w:id="74"/>
      <w:bookmarkEnd w:id="75"/>
      <w:bookmarkEnd w:id="76"/>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评价</w:t>
      </w:r>
      <w:r>
        <w:rPr>
          <w:rFonts w:hint="eastAsia" w:ascii="仿宋_GB2312" w:hAnsi="仿宋_GB2312" w:cs="仿宋_GB2312"/>
          <w:color w:val="auto"/>
          <w:sz w:val="32"/>
          <w:szCs w:val="32"/>
          <w:highlight w:val="none"/>
          <w:lang w:val="en-US" w:eastAsia="zh-CN"/>
        </w:rPr>
        <w:t>工作组通过对项目单位提交的相关资料进行梳理，</w:t>
      </w:r>
      <w:r>
        <w:rPr>
          <w:rFonts w:hint="eastAsia" w:ascii="仿宋_GB2312" w:hAnsi="仿宋_GB2312" w:cs="仿宋_GB2312"/>
          <w:color w:val="auto"/>
          <w:sz w:val="32"/>
          <w:szCs w:val="32"/>
          <w:highlight w:val="none"/>
        </w:rPr>
        <w:t>结合专家组意见，对项目决策、过程、产出及效益进行综合分析，提出存在的问题及相应建议，按照要求撰写绩效评价报告，提交项目单位征求意见，根据反馈意见修改完善后形成绩效评价报告正式稿报送委托方。</w:t>
      </w:r>
    </w:p>
    <w:bookmarkEnd w:id="69"/>
    <w:bookmarkEnd w:id="70"/>
    <w:p>
      <w:pPr>
        <w:adjustRightInd w:val="0"/>
        <w:snapToGrid w:val="0"/>
        <w:spacing w:line="360" w:lineRule="auto"/>
        <w:ind w:firstLine="640" w:firstLineChars="200"/>
        <w:outlineLvl w:val="0"/>
        <w:rPr>
          <w:rFonts w:ascii="黑体" w:hAnsi="黑体" w:eastAsia="黑体"/>
          <w:bCs/>
          <w:color w:val="auto"/>
          <w:sz w:val="32"/>
          <w:szCs w:val="32"/>
          <w:highlight w:val="none"/>
        </w:rPr>
      </w:pPr>
      <w:bookmarkStart w:id="77" w:name="_Toc55475195"/>
      <w:bookmarkStart w:id="78" w:name="_Toc2653"/>
      <w:bookmarkStart w:id="79" w:name="_Toc31598"/>
      <w:bookmarkStart w:id="80" w:name="_Toc24850"/>
      <w:bookmarkStart w:id="81" w:name="_Toc6291"/>
      <w:bookmarkStart w:id="82" w:name="_Toc336506961"/>
      <w:bookmarkStart w:id="83" w:name="_Toc336506896"/>
      <w:bookmarkStart w:id="84" w:name="_Toc55475190"/>
      <w:r>
        <w:rPr>
          <w:rFonts w:hint="eastAsia" w:ascii="黑体" w:hAnsi="黑体" w:eastAsia="黑体"/>
          <w:bCs/>
          <w:color w:val="auto"/>
          <w:sz w:val="32"/>
          <w:szCs w:val="32"/>
          <w:highlight w:val="none"/>
        </w:rPr>
        <w:t>三、综合评价情况及评价</w:t>
      </w:r>
      <w:bookmarkEnd w:id="77"/>
      <w:r>
        <w:rPr>
          <w:rFonts w:hint="eastAsia" w:ascii="黑体" w:hAnsi="黑体" w:eastAsia="黑体"/>
          <w:bCs/>
          <w:color w:val="auto"/>
          <w:sz w:val="32"/>
          <w:szCs w:val="32"/>
          <w:highlight w:val="none"/>
        </w:rPr>
        <w:t>结论</w:t>
      </w:r>
      <w:bookmarkEnd w:id="78"/>
      <w:bookmarkEnd w:id="79"/>
      <w:bookmarkEnd w:id="80"/>
      <w:bookmarkEnd w:id="81"/>
    </w:p>
    <w:p>
      <w:pPr>
        <w:keepNext w:val="0"/>
        <w:keepLines w:val="0"/>
        <w:widowControl w:val="0"/>
        <w:suppressLineNumbers w:val="0"/>
        <w:adjustRightInd w:val="0"/>
        <w:snapToGrid w:val="0"/>
        <w:spacing w:before="0" w:beforeAutospacing="0" w:after="0" w:afterAutospacing="0" w:line="360" w:lineRule="auto"/>
        <w:ind w:left="0" w:right="0" w:firstLine="640" w:firstLineChars="200"/>
        <w:jc w:val="both"/>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为贯彻落实</w:t>
      </w:r>
      <w:r>
        <w:rPr>
          <w:rFonts w:hint="eastAsia" w:ascii="仿宋_GB2312" w:hAnsi="宋体" w:cs="宋体"/>
          <w:color w:val="auto"/>
          <w:kern w:val="0"/>
          <w:sz w:val="32"/>
          <w:szCs w:val="28"/>
          <w:highlight w:val="none"/>
        </w:rPr>
        <w:t>《十四五规划》</w:t>
      </w:r>
      <w:r>
        <w:rPr>
          <w:rFonts w:hint="eastAsia" w:ascii="仿宋_GB2312" w:hAnsi="仿宋_GB2312" w:cs="仿宋_GB2312"/>
          <w:color w:val="auto"/>
          <w:sz w:val="32"/>
          <w:szCs w:val="32"/>
          <w:highlight w:val="none"/>
        </w:rPr>
        <w:t>及《北京市无线电管理“十四五”规划》《工业和信息化部无线电管理局关于做好2023年无线电管理经费使用计划报送工作的通知》（工无函〔2022〕243号</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等文件要求，</w:t>
      </w:r>
      <w:r>
        <w:rPr>
          <w:rFonts w:hint="eastAsia" w:ascii="仿宋_GB2312" w:hAnsi="仿宋_GB2312" w:cs="仿宋_GB2312"/>
          <w:color w:val="auto"/>
          <w:sz w:val="32"/>
          <w:szCs w:val="32"/>
          <w:highlight w:val="none"/>
        </w:rPr>
        <w:t>进一步推动无线电事业的持续发展，保障无线电管理支撑能力建设不断适应无线电事业发展的需要，市经信局202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年继续申请无线电</w:t>
      </w:r>
      <w:r>
        <w:rPr>
          <w:rFonts w:hint="eastAsia" w:ascii="仿宋_GB2312" w:hAnsi="仿宋_GB2312" w:cs="仿宋_GB2312"/>
          <w:color w:val="auto"/>
          <w:sz w:val="32"/>
          <w:szCs w:val="32"/>
          <w:highlight w:val="none"/>
          <w:lang w:val="en-US" w:eastAsia="zh-CN"/>
        </w:rPr>
        <w:t>管理经费</w:t>
      </w:r>
      <w:r>
        <w:rPr>
          <w:rFonts w:hint="eastAsia" w:ascii="仿宋_GB2312" w:hAnsi="仿宋_GB2312" w:cs="仿宋_GB2312"/>
          <w:color w:val="auto"/>
          <w:sz w:val="32"/>
          <w:szCs w:val="32"/>
          <w:highlight w:val="none"/>
        </w:rPr>
        <w:t>资金。</w:t>
      </w:r>
      <w:r>
        <w:rPr>
          <w:rFonts w:hint="eastAsia" w:ascii="仿宋_GB2312" w:hAnsi="仿宋_GB2312" w:cs="仿宋_GB2312"/>
          <w:color w:val="auto"/>
          <w:sz w:val="32"/>
          <w:szCs w:val="32"/>
          <w:highlight w:val="none"/>
          <w:lang w:val="en-US" w:eastAsia="zh-CN"/>
        </w:rPr>
        <w:t>通过项目实施，保障了2023年服贸会、中非论坛、全国“两会”等重大活动以及全国高考、司法考试、中央和北京公务员考试等重要考试的无线电安全，</w:t>
      </w:r>
      <w:r>
        <w:rPr>
          <w:rFonts w:hint="eastAsia" w:ascii="仿宋_GB2312" w:hAnsi="仿宋_GB2312" w:cs="仿宋_GB2312"/>
          <w:color w:val="auto"/>
          <w:sz w:val="32"/>
          <w:szCs w:val="32"/>
          <w:highlight w:val="none"/>
          <w:lang w:val="en-US" w:eastAsia="zh"/>
        </w:rPr>
        <w:t>完成无线电发射设备型号核准</w:t>
      </w:r>
      <w:r>
        <w:rPr>
          <w:rFonts w:hint="eastAsia" w:ascii="仿宋_GB2312" w:hAnsi="仿宋_GB2312" w:cs="仿宋_GB2312"/>
          <w:color w:val="auto"/>
          <w:sz w:val="32"/>
          <w:szCs w:val="32"/>
          <w:highlight w:val="none"/>
          <w:lang w:val="en-US" w:eastAsia="zh-CN"/>
        </w:rPr>
        <w:t>及销售备案、巡检等设备管理工作</w:t>
      </w:r>
      <w:r>
        <w:rPr>
          <w:rFonts w:hint="eastAsia" w:ascii="仿宋_GB2312" w:hAnsi="仿宋_GB2312" w:cs="仿宋_GB2312"/>
          <w:color w:val="auto"/>
          <w:sz w:val="32"/>
          <w:szCs w:val="32"/>
          <w:highlight w:val="none"/>
          <w:lang w:val="en-US" w:eastAsia="zh"/>
        </w:rPr>
        <w:t>。项目实施有力</w:t>
      </w:r>
      <w:r>
        <w:rPr>
          <w:rFonts w:hint="eastAsia" w:ascii="仿宋_GB2312" w:hAnsi="仿宋_GB2312" w:cs="仿宋_GB2312"/>
          <w:color w:val="auto"/>
          <w:sz w:val="32"/>
          <w:szCs w:val="32"/>
          <w:highlight w:val="none"/>
        </w:rPr>
        <w:t>促进了军民融合、净化了电磁环境，有效推动</w:t>
      </w:r>
      <w:r>
        <w:rPr>
          <w:rFonts w:hint="eastAsia" w:ascii="仿宋_GB2312" w:hAnsi="仿宋_GB2312" w:cs="仿宋_GB2312"/>
          <w:color w:val="auto"/>
          <w:sz w:val="32"/>
          <w:szCs w:val="32"/>
          <w:highlight w:val="none"/>
          <w:lang w:eastAsia="zh"/>
        </w:rPr>
        <w:t>了</w:t>
      </w:r>
      <w:r>
        <w:rPr>
          <w:rFonts w:hint="eastAsia" w:ascii="仿宋_GB2312" w:hAnsi="仿宋_GB2312" w:cs="仿宋_GB2312"/>
          <w:color w:val="auto"/>
          <w:sz w:val="32"/>
          <w:szCs w:val="32"/>
          <w:highlight w:val="none"/>
        </w:rPr>
        <w:t>无线电管理事业的可持续发展</w:t>
      </w:r>
      <w:r>
        <w:rPr>
          <w:rFonts w:hint="eastAsia" w:ascii="仿宋_GB2312" w:hAnsi="仿宋_GB2312" w:cs="仿宋_GB2312"/>
          <w:color w:val="auto"/>
          <w:sz w:val="32"/>
          <w:szCs w:val="32"/>
          <w:highlight w:val="none"/>
          <w:lang w:eastAsia="zh"/>
        </w:rPr>
        <w:t>，促进了北京市经济发展</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获得了北京</w:t>
      </w:r>
      <w:r>
        <w:rPr>
          <w:rFonts w:hint="eastAsia" w:ascii="仿宋_GB2312" w:hAnsi="仿宋_GB2312" w:cs="仿宋_GB2312"/>
          <w:b w:val="0"/>
          <w:bCs/>
          <w:color w:val="auto"/>
          <w:sz w:val="32"/>
          <w:szCs w:val="32"/>
          <w:highlight w:val="none"/>
          <w:lang w:val="en-US" w:eastAsia="zh-CN"/>
        </w:rPr>
        <w:t>市委市政府、</w:t>
      </w:r>
      <w:r>
        <w:rPr>
          <w:rFonts w:hint="eastAsia" w:ascii="仿宋_GB2312" w:hAnsi="仿宋_GB2312" w:cs="仿宋_GB2312"/>
          <w:color w:val="auto"/>
          <w:sz w:val="32"/>
          <w:szCs w:val="32"/>
          <w:highlight w:val="none"/>
        </w:rPr>
        <w:t>北京市突发事件应急委员会办公室</w:t>
      </w:r>
      <w:r>
        <w:rPr>
          <w:rFonts w:hint="eastAsia" w:ascii="仿宋_GB2312" w:hAnsi="仿宋_GB2312" w:cs="仿宋_GB2312"/>
          <w:color w:val="auto"/>
          <w:sz w:val="32"/>
          <w:szCs w:val="32"/>
          <w:highlight w:val="none"/>
          <w:lang w:val="en-US" w:eastAsia="zh-CN"/>
        </w:rPr>
        <w:t>等</w:t>
      </w:r>
      <w:r>
        <w:rPr>
          <w:rFonts w:hint="eastAsia" w:ascii="仿宋_GB2312" w:hAnsi="仿宋_GB2312" w:cs="仿宋_GB2312"/>
          <w:color w:val="auto"/>
          <w:sz w:val="32"/>
          <w:szCs w:val="32"/>
          <w:highlight w:val="none"/>
          <w:lang w:val="en-US" w:eastAsia="zh"/>
        </w:rPr>
        <w:t>相关部门和单位</w:t>
      </w:r>
      <w:r>
        <w:rPr>
          <w:rFonts w:hint="eastAsia" w:ascii="仿宋_GB2312" w:hAnsi="仿宋_GB2312" w:cs="仿宋_GB2312"/>
          <w:color w:val="auto"/>
          <w:sz w:val="32"/>
          <w:szCs w:val="32"/>
          <w:highlight w:val="none"/>
          <w:lang w:val="en-US" w:eastAsia="zh-CN"/>
        </w:rPr>
        <w:t>的表扬表彰，项目效益明显。</w:t>
      </w:r>
      <w:r>
        <w:rPr>
          <w:rFonts w:hint="eastAsia" w:ascii="仿宋_GB2312" w:hAnsi="仿宋_GB2312" w:cs="仿宋_GB2312"/>
          <w:color w:val="auto"/>
          <w:sz w:val="32"/>
          <w:szCs w:val="32"/>
          <w:highlight w:val="none"/>
        </w:rPr>
        <w:t>但还存在</w:t>
      </w:r>
      <w:r>
        <w:rPr>
          <w:rFonts w:hint="eastAsia" w:ascii="仿宋_GB2312" w:hAnsi="仿宋_GB2312" w:cs="仿宋_GB2312"/>
          <w:color w:val="auto"/>
          <w:sz w:val="32"/>
          <w:szCs w:val="32"/>
          <w:highlight w:val="none"/>
          <w:lang w:val="en-US" w:eastAsia="zh-CN"/>
        </w:rPr>
        <w:t>区域绩效目标编制不够规范，绩效指标设置不够凝练，个别项目预算编制不够细化，项目过程管理有待加强</w:t>
      </w:r>
      <w:r>
        <w:rPr>
          <w:rFonts w:hint="eastAsia" w:ascii="仿宋_GB2312" w:hAnsi="仿宋_GB2312" w:cs="仿宋_GB2312"/>
          <w:color w:val="auto"/>
          <w:sz w:val="32"/>
          <w:szCs w:val="32"/>
          <w:highlight w:val="none"/>
        </w:rPr>
        <w:t>等问题。项目综合得分为88.</w:t>
      </w:r>
      <w:r>
        <w:rPr>
          <w:rFonts w:hint="eastAsia" w:ascii="仿宋_GB2312" w:hAnsi="仿宋_GB2312" w:cs="仿宋_GB2312"/>
          <w:color w:val="auto"/>
          <w:sz w:val="32"/>
          <w:szCs w:val="32"/>
          <w:highlight w:val="none"/>
          <w:lang w:eastAsia="zh-CN"/>
        </w:rPr>
        <w:t>8</w:t>
      </w:r>
      <w:r>
        <w:rPr>
          <w:rFonts w:hint="eastAsia" w:ascii="仿宋_GB2312" w:hAnsi="仿宋_GB2312" w:cs="仿宋_GB2312"/>
          <w:color w:val="auto"/>
          <w:sz w:val="32"/>
          <w:szCs w:val="32"/>
          <w:highlight w:val="none"/>
          <w:lang w:val="en-US" w:eastAsia="zh-CN"/>
        </w:rPr>
        <w:t>4</w:t>
      </w:r>
      <w:r>
        <w:rPr>
          <w:rFonts w:hint="eastAsia" w:ascii="仿宋_GB2312" w:hAnsi="仿宋_GB2312" w:cs="仿宋_GB2312"/>
          <w:color w:val="auto"/>
          <w:sz w:val="32"/>
          <w:szCs w:val="32"/>
          <w:highlight w:val="none"/>
        </w:rPr>
        <w:t>分，绩效评价结论为“良好”。得分情况如表</w:t>
      </w:r>
      <w:r>
        <w:rPr>
          <w:rFonts w:hint="eastAsia" w:ascii="仿宋_GB2312" w:hAnsi="仿宋_GB2312" w:cs="仿宋_GB2312"/>
          <w:color w:val="auto"/>
          <w:sz w:val="32"/>
          <w:szCs w:val="32"/>
          <w:highlight w:val="none"/>
          <w:lang w:val="en-US" w:eastAsia="zh-CN"/>
        </w:rPr>
        <w:t>6</w:t>
      </w:r>
      <w:r>
        <w:rPr>
          <w:rFonts w:hint="eastAsia" w:ascii="仿宋_GB2312" w:hAnsi="仿宋_GB2312" w:cs="仿宋_GB2312"/>
          <w:color w:val="auto"/>
          <w:sz w:val="32"/>
          <w:szCs w:val="32"/>
          <w:highlight w:val="none"/>
        </w:rPr>
        <w:t>所示（详见附件2）。</w:t>
      </w:r>
    </w:p>
    <w:p>
      <w:pPr>
        <w:adjustRightInd w:val="0"/>
        <w:snapToGrid w:val="0"/>
        <w:spacing w:line="360" w:lineRule="auto"/>
        <w:jc w:val="center"/>
        <w:rPr>
          <w:rFonts w:ascii="黑体" w:eastAsia="黑体"/>
          <w:color w:val="auto"/>
          <w:sz w:val="28"/>
          <w:szCs w:val="28"/>
          <w:highlight w:val="none"/>
        </w:rPr>
      </w:pPr>
      <w:r>
        <w:rPr>
          <w:rFonts w:hint="eastAsia" w:ascii="黑体" w:eastAsia="黑体"/>
          <w:color w:val="auto"/>
          <w:sz w:val="28"/>
          <w:szCs w:val="28"/>
          <w:highlight w:val="none"/>
        </w:rPr>
        <w:t>表</w:t>
      </w:r>
      <w:r>
        <w:rPr>
          <w:rFonts w:hint="eastAsia" w:ascii="黑体" w:eastAsia="黑体"/>
          <w:color w:val="auto"/>
          <w:sz w:val="28"/>
          <w:szCs w:val="28"/>
          <w:highlight w:val="none"/>
          <w:lang w:val="en-US" w:eastAsia="zh-CN"/>
        </w:rPr>
        <w:t>6</w:t>
      </w:r>
      <w:r>
        <w:rPr>
          <w:rFonts w:hint="eastAsia" w:ascii="黑体" w:eastAsia="黑体"/>
          <w:color w:val="auto"/>
          <w:sz w:val="28"/>
          <w:szCs w:val="28"/>
          <w:highlight w:val="none"/>
        </w:rPr>
        <w:t>：综合评价得分情况表</w:t>
      </w:r>
    </w:p>
    <w:tbl>
      <w:tblPr>
        <w:tblStyle w:val="16"/>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69"/>
        <w:gridCol w:w="2127"/>
        <w:gridCol w:w="2069"/>
        <w:gridCol w:w="22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0" w:hRule="atLeast"/>
          <w:tblHeader/>
          <w:jc w:val="center"/>
        </w:trPr>
        <w:tc>
          <w:tcPr>
            <w:tcW w:w="2069" w:type="dxa"/>
            <w:vAlign w:val="center"/>
          </w:tcPr>
          <w:p>
            <w:pPr>
              <w:widowControl/>
              <w:adjustRightInd w:val="0"/>
              <w:snapToGrid w:val="0"/>
              <w:jc w:val="center"/>
              <w:rPr>
                <w:rFonts w:ascii="宋体" w:hAnsi="宋体" w:eastAsia="宋体" w:cs="宋体"/>
                <w:b/>
                <w:bCs/>
                <w:color w:val="auto"/>
                <w:kern w:val="0"/>
                <w:sz w:val="20"/>
                <w:szCs w:val="20"/>
                <w:highlight w:val="none"/>
              </w:rPr>
            </w:pPr>
            <w:r>
              <w:rPr>
                <w:rFonts w:hint="eastAsia" w:ascii="宋体" w:hAnsi="宋体" w:eastAsia="宋体" w:cs="宋体"/>
                <w:b/>
                <w:bCs/>
                <w:color w:val="auto"/>
                <w:kern w:val="0"/>
                <w:sz w:val="20"/>
                <w:szCs w:val="20"/>
                <w:highlight w:val="none"/>
              </w:rPr>
              <w:t>一级指标</w:t>
            </w:r>
          </w:p>
        </w:tc>
        <w:tc>
          <w:tcPr>
            <w:tcW w:w="2127" w:type="dxa"/>
            <w:vAlign w:val="center"/>
          </w:tcPr>
          <w:p>
            <w:pPr>
              <w:widowControl/>
              <w:adjustRightInd w:val="0"/>
              <w:snapToGrid w:val="0"/>
              <w:jc w:val="center"/>
              <w:rPr>
                <w:rFonts w:ascii="宋体" w:hAnsi="宋体" w:eastAsia="宋体" w:cs="宋体"/>
                <w:b/>
                <w:bCs/>
                <w:color w:val="auto"/>
                <w:kern w:val="0"/>
                <w:sz w:val="20"/>
                <w:szCs w:val="20"/>
                <w:highlight w:val="none"/>
              </w:rPr>
            </w:pPr>
            <w:r>
              <w:rPr>
                <w:rFonts w:hint="eastAsia" w:ascii="宋体" w:hAnsi="宋体" w:eastAsia="宋体" w:cs="宋体"/>
                <w:b/>
                <w:bCs/>
                <w:color w:val="auto"/>
                <w:kern w:val="0"/>
                <w:sz w:val="20"/>
                <w:szCs w:val="20"/>
                <w:highlight w:val="none"/>
              </w:rPr>
              <w:t>分值</w:t>
            </w:r>
          </w:p>
        </w:tc>
        <w:tc>
          <w:tcPr>
            <w:tcW w:w="2069" w:type="dxa"/>
            <w:vAlign w:val="center"/>
          </w:tcPr>
          <w:p>
            <w:pPr>
              <w:widowControl/>
              <w:adjustRightInd w:val="0"/>
              <w:snapToGrid w:val="0"/>
              <w:jc w:val="center"/>
              <w:rPr>
                <w:rFonts w:ascii="宋体" w:hAnsi="宋体" w:eastAsia="宋体" w:cs="宋体"/>
                <w:b/>
                <w:bCs/>
                <w:color w:val="auto"/>
                <w:kern w:val="0"/>
                <w:sz w:val="20"/>
                <w:szCs w:val="20"/>
                <w:highlight w:val="none"/>
              </w:rPr>
            </w:pPr>
            <w:r>
              <w:rPr>
                <w:rFonts w:hint="eastAsia" w:ascii="宋体" w:hAnsi="宋体" w:eastAsia="宋体" w:cs="宋体"/>
                <w:b/>
                <w:bCs/>
                <w:color w:val="auto"/>
                <w:kern w:val="0"/>
                <w:sz w:val="20"/>
                <w:szCs w:val="20"/>
                <w:highlight w:val="none"/>
              </w:rPr>
              <w:t>得分</w:t>
            </w:r>
          </w:p>
        </w:tc>
        <w:tc>
          <w:tcPr>
            <w:tcW w:w="2239" w:type="dxa"/>
            <w:vAlign w:val="center"/>
          </w:tcPr>
          <w:p>
            <w:pPr>
              <w:widowControl/>
              <w:adjustRightInd w:val="0"/>
              <w:snapToGrid w:val="0"/>
              <w:jc w:val="center"/>
              <w:rPr>
                <w:rFonts w:ascii="宋体" w:hAnsi="宋体" w:eastAsia="宋体" w:cs="宋体"/>
                <w:b/>
                <w:bCs/>
                <w:color w:val="auto"/>
                <w:kern w:val="0"/>
                <w:sz w:val="20"/>
                <w:szCs w:val="20"/>
                <w:highlight w:val="none"/>
              </w:rPr>
            </w:pPr>
            <w:r>
              <w:rPr>
                <w:rFonts w:hint="eastAsia" w:ascii="宋体" w:hAnsi="宋体" w:eastAsia="宋体" w:cs="宋体"/>
                <w:b/>
                <w:bCs/>
                <w:color w:val="auto"/>
                <w:kern w:val="0"/>
                <w:sz w:val="20"/>
                <w:szCs w:val="20"/>
                <w:highlight w:val="none"/>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2069" w:type="dxa"/>
            <w:vAlign w:val="center"/>
          </w:tcPr>
          <w:p>
            <w:pPr>
              <w:widowControl/>
              <w:adjustRightInd w:val="0"/>
              <w:snapToGrid w:val="0"/>
              <w:jc w:val="center"/>
              <w:rPr>
                <w:rFonts w:ascii="宋体" w:hAnsi="宋体" w:eastAsia="宋体" w:cs="宋体"/>
                <w:color w:val="auto"/>
                <w:kern w:val="0"/>
                <w:sz w:val="20"/>
                <w:szCs w:val="20"/>
                <w:highlight w:val="none"/>
              </w:rPr>
            </w:pPr>
            <w:r>
              <w:rPr>
                <w:rFonts w:hint="eastAsia" w:ascii="宋体" w:hAnsi="宋体" w:eastAsia="宋体" w:cs="宋体"/>
                <w:color w:val="auto"/>
                <w:kern w:val="0"/>
                <w:sz w:val="20"/>
                <w:szCs w:val="20"/>
                <w:highlight w:val="none"/>
              </w:rPr>
              <w:t>决策</w:t>
            </w:r>
          </w:p>
        </w:tc>
        <w:tc>
          <w:tcPr>
            <w:tcW w:w="2127" w:type="dxa"/>
            <w:vAlign w:val="center"/>
          </w:tcPr>
          <w:p>
            <w:pPr>
              <w:widowControl/>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10</w:t>
            </w:r>
          </w:p>
        </w:tc>
        <w:tc>
          <w:tcPr>
            <w:tcW w:w="2069" w:type="dxa"/>
            <w:vAlign w:val="center"/>
          </w:tcPr>
          <w:p>
            <w:pPr>
              <w:widowControl/>
              <w:adjustRightInd w:val="0"/>
              <w:snapToGrid w:val="0"/>
              <w:jc w:val="center"/>
              <w:rPr>
                <w:rFonts w:hint="default" w:ascii="宋体" w:hAnsi="宋体" w:eastAsia="宋体"/>
                <w:color w:val="auto"/>
                <w:kern w:val="0"/>
                <w:sz w:val="20"/>
                <w:szCs w:val="20"/>
                <w:highlight w:val="none"/>
                <w:lang w:val="en-US" w:eastAsia="zh-CN"/>
              </w:rPr>
            </w:pPr>
            <w:r>
              <w:rPr>
                <w:rFonts w:hint="eastAsia" w:ascii="宋体" w:hAnsi="宋体" w:eastAsia="宋体"/>
                <w:color w:val="auto"/>
                <w:kern w:val="0"/>
                <w:sz w:val="20"/>
                <w:szCs w:val="20"/>
                <w:highlight w:val="none"/>
                <w:lang w:val="en-US" w:eastAsia="zh-CN"/>
              </w:rPr>
              <w:t>8.50</w:t>
            </w:r>
          </w:p>
        </w:tc>
        <w:tc>
          <w:tcPr>
            <w:tcW w:w="2239" w:type="dxa"/>
            <w:vAlign w:val="center"/>
          </w:tcPr>
          <w:p>
            <w:pPr>
              <w:widowControl/>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lang w:val="en-US" w:eastAsia="zh-CN"/>
              </w:rPr>
              <w:t>85.00</w:t>
            </w:r>
            <w:r>
              <w:rPr>
                <w:rFonts w:ascii="宋体" w:hAnsi="宋体" w:eastAsia="宋体"/>
                <w:color w:val="auto"/>
                <w:kern w:val="0"/>
                <w:sz w:val="20"/>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2069" w:type="dxa"/>
            <w:vAlign w:val="center"/>
          </w:tcPr>
          <w:p>
            <w:pPr>
              <w:widowControl/>
              <w:adjustRightInd w:val="0"/>
              <w:snapToGrid w:val="0"/>
              <w:jc w:val="center"/>
              <w:rPr>
                <w:rFonts w:ascii="宋体" w:hAnsi="宋体" w:eastAsia="宋体" w:cs="宋体"/>
                <w:color w:val="auto"/>
                <w:kern w:val="0"/>
                <w:sz w:val="20"/>
                <w:szCs w:val="20"/>
                <w:highlight w:val="none"/>
              </w:rPr>
            </w:pPr>
            <w:r>
              <w:rPr>
                <w:rFonts w:hint="eastAsia" w:ascii="宋体" w:hAnsi="宋体" w:eastAsia="宋体" w:cs="宋体"/>
                <w:color w:val="auto"/>
                <w:kern w:val="0"/>
                <w:sz w:val="20"/>
                <w:szCs w:val="20"/>
                <w:highlight w:val="none"/>
              </w:rPr>
              <w:t>过程</w:t>
            </w:r>
          </w:p>
        </w:tc>
        <w:tc>
          <w:tcPr>
            <w:tcW w:w="2127" w:type="dxa"/>
            <w:vAlign w:val="center"/>
          </w:tcPr>
          <w:p>
            <w:pPr>
              <w:widowControl/>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24</w:t>
            </w:r>
          </w:p>
        </w:tc>
        <w:tc>
          <w:tcPr>
            <w:tcW w:w="2069" w:type="dxa"/>
            <w:vAlign w:val="center"/>
          </w:tcPr>
          <w:p>
            <w:pPr>
              <w:widowControl/>
              <w:adjustRightInd w:val="0"/>
              <w:snapToGrid w:val="0"/>
              <w:jc w:val="center"/>
              <w:rPr>
                <w:rFonts w:hint="default" w:ascii="宋体" w:hAnsi="宋体" w:eastAsia="宋体"/>
                <w:color w:val="auto"/>
                <w:kern w:val="0"/>
                <w:sz w:val="20"/>
                <w:szCs w:val="20"/>
                <w:highlight w:val="none"/>
                <w:lang w:val="en-US" w:eastAsia="zh-CN"/>
              </w:rPr>
            </w:pPr>
            <w:r>
              <w:rPr>
                <w:rFonts w:hint="eastAsia" w:ascii="宋体" w:hAnsi="宋体" w:eastAsia="宋体"/>
                <w:color w:val="auto"/>
                <w:kern w:val="0"/>
                <w:sz w:val="20"/>
                <w:szCs w:val="20"/>
                <w:highlight w:val="none"/>
                <w:lang w:val="en-US" w:eastAsia="zh-CN"/>
              </w:rPr>
              <w:t>19.16</w:t>
            </w:r>
          </w:p>
        </w:tc>
        <w:tc>
          <w:tcPr>
            <w:tcW w:w="2239" w:type="dxa"/>
            <w:vAlign w:val="center"/>
          </w:tcPr>
          <w:p>
            <w:pPr>
              <w:widowControl/>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lang w:val="en-US" w:eastAsia="zh-CN"/>
              </w:rPr>
              <w:t>79.83</w:t>
            </w:r>
            <w:r>
              <w:rPr>
                <w:rFonts w:ascii="宋体" w:hAnsi="宋体" w:eastAsia="宋体"/>
                <w:color w:val="auto"/>
                <w:kern w:val="0"/>
                <w:sz w:val="20"/>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2069" w:type="dxa"/>
            <w:vAlign w:val="center"/>
          </w:tcPr>
          <w:p>
            <w:pPr>
              <w:widowControl/>
              <w:adjustRightInd w:val="0"/>
              <w:snapToGrid w:val="0"/>
              <w:jc w:val="center"/>
              <w:rPr>
                <w:rFonts w:ascii="宋体" w:hAnsi="宋体" w:eastAsia="宋体" w:cs="宋体"/>
                <w:color w:val="auto"/>
                <w:kern w:val="0"/>
                <w:sz w:val="20"/>
                <w:szCs w:val="20"/>
                <w:highlight w:val="none"/>
              </w:rPr>
            </w:pPr>
            <w:r>
              <w:rPr>
                <w:rFonts w:hint="eastAsia" w:ascii="宋体" w:hAnsi="宋体" w:eastAsia="宋体" w:cs="宋体"/>
                <w:color w:val="auto"/>
                <w:kern w:val="0"/>
                <w:sz w:val="20"/>
                <w:szCs w:val="20"/>
                <w:highlight w:val="none"/>
              </w:rPr>
              <w:t>产出</w:t>
            </w:r>
          </w:p>
        </w:tc>
        <w:tc>
          <w:tcPr>
            <w:tcW w:w="2127" w:type="dxa"/>
            <w:vAlign w:val="center"/>
          </w:tcPr>
          <w:p>
            <w:pPr>
              <w:widowControl/>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36</w:t>
            </w:r>
          </w:p>
        </w:tc>
        <w:tc>
          <w:tcPr>
            <w:tcW w:w="2069" w:type="dxa"/>
            <w:vAlign w:val="center"/>
          </w:tcPr>
          <w:p>
            <w:pPr>
              <w:widowControl/>
              <w:adjustRightInd w:val="0"/>
              <w:snapToGrid w:val="0"/>
              <w:jc w:val="center"/>
              <w:rPr>
                <w:rFonts w:hint="default" w:ascii="宋体" w:hAnsi="宋体" w:eastAsia="宋体"/>
                <w:color w:val="auto"/>
                <w:kern w:val="0"/>
                <w:sz w:val="20"/>
                <w:szCs w:val="20"/>
                <w:highlight w:val="none"/>
                <w:lang w:val="en-US" w:eastAsia="zh-CN"/>
              </w:rPr>
            </w:pPr>
            <w:r>
              <w:rPr>
                <w:rFonts w:hint="eastAsia" w:ascii="宋体" w:hAnsi="宋体" w:eastAsia="宋体"/>
                <w:color w:val="auto"/>
                <w:kern w:val="0"/>
                <w:sz w:val="20"/>
                <w:szCs w:val="20"/>
                <w:highlight w:val="none"/>
                <w:lang w:val="en-US" w:eastAsia="zh-CN"/>
              </w:rPr>
              <w:t>31.60</w:t>
            </w:r>
          </w:p>
        </w:tc>
        <w:tc>
          <w:tcPr>
            <w:tcW w:w="2239" w:type="dxa"/>
            <w:vAlign w:val="center"/>
          </w:tcPr>
          <w:p>
            <w:pPr>
              <w:widowControl/>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lang w:val="en-US" w:eastAsia="zh-CN"/>
              </w:rPr>
              <w:t>87.78</w:t>
            </w:r>
            <w:r>
              <w:rPr>
                <w:rFonts w:ascii="宋体" w:hAnsi="宋体" w:eastAsia="宋体"/>
                <w:color w:val="auto"/>
                <w:kern w:val="0"/>
                <w:sz w:val="20"/>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2069" w:type="dxa"/>
            <w:vAlign w:val="center"/>
          </w:tcPr>
          <w:p>
            <w:pPr>
              <w:widowControl/>
              <w:adjustRightInd w:val="0"/>
              <w:snapToGrid w:val="0"/>
              <w:jc w:val="center"/>
              <w:rPr>
                <w:rFonts w:ascii="宋体" w:hAnsi="宋体" w:eastAsia="宋体" w:cs="宋体"/>
                <w:color w:val="auto"/>
                <w:kern w:val="0"/>
                <w:sz w:val="20"/>
                <w:szCs w:val="20"/>
                <w:highlight w:val="none"/>
              </w:rPr>
            </w:pPr>
            <w:r>
              <w:rPr>
                <w:rFonts w:hint="eastAsia" w:ascii="宋体" w:hAnsi="宋体" w:eastAsia="宋体" w:cs="宋体"/>
                <w:color w:val="auto"/>
                <w:kern w:val="0"/>
                <w:sz w:val="20"/>
                <w:szCs w:val="20"/>
                <w:highlight w:val="none"/>
              </w:rPr>
              <w:t>效益</w:t>
            </w:r>
          </w:p>
        </w:tc>
        <w:tc>
          <w:tcPr>
            <w:tcW w:w="2127" w:type="dxa"/>
            <w:vAlign w:val="center"/>
          </w:tcPr>
          <w:p>
            <w:pPr>
              <w:widowControl/>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30</w:t>
            </w:r>
          </w:p>
        </w:tc>
        <w:tc>
          <w:tcPr>
            <w:tcW w:w="2069" w:type="dxa"/>
            <w:vAlign w:val="center"/>
          </w:tcPr>
          <w:p>
            <w:pPr>
              <w:widowControl/>
              <w:adjustRightInd w:val="0"/>
              <w:snapToGrid w:val="0"/>
              <w:jc w:val="center"/>
              <w:rPr>
                <w:rFonts w:hint="default" w:ascii="宋体" w:hAnsi="宋体" w:eastAsia="宋体"/>
                <w:color w:val="auto"/>
                <w:kern w:val="0"/>
                <w:sz w:val="20"/>
                <w:szCs w:val="20"/>
                <w:highlight w:val="none"/>
                <w:lang w:val="en-US" w:eastAsia="zh-CN"/>
              </w:rPr>
            </w:pPr>
            <w:r>
              <w:rPr>
                <w:rFonts w:hint="eastAsia" w:ascii="宋体" w:hAnsi="宋体" w:eastAsia="宋体"/>
                <w:color w:val="auto"/>
                <w:kern w:val="0"/>
                <w:sz w:val="20"/>
                <w:szCs w:val="20"/>
                <w:highlight w:val="none"/>
                <w:lang w:val="en-US" w:eastAsia="zh-CN"/>
              </w:rPr>
              <w:t>29.58</w:t>
            </w:r>
          </w:p>
        </w:tc>
        <w:tc>
          <w:tcPr>
            <w:tcW w:w="2239" w:type="dxa"/>
            <w:vAlign w:val="center"/>
          </w:tcPr>
          <w:p>
            <w:pPr>
              <w:widowControl/>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lang w:val="en-US" w:eastAsia="zh-CN"/>
              </w:rPr>
              <w:t>98.60</w:t>
            </w:r>
            <w:r>
              <w:rPr>
                <w:rFonts w:ascii="宋体" w:hAnsi="宋体" w:eastAsia="宋体"/>
                <w:color w:val="auto"/>
                <w:kern w:val="0"/>
                <w:sz w:val="20"/>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2069" w:type="dxa"/>
            <w:vAlign w:val="center"/>
          </w:tcPr>
          <w:p>
            <w:pPr>
              <w:widowControl/>
              <w:adjustRightInd w:val="0"/>
              <w:snapToGrid w:val="0"/>
              <w:jc w:val="center"/>
              <w:rPr>
                <w:rFonts w:ascii="宋体" w:hAnsi="宋体" w:eastAsia="宋体" w:cs="宋体"/>
                <w:b/>
                <w:bCs/>
                <w:color w:val="auto"/>
                <w:kern w:val="0"/>
                <w:sz w:val="20"/>
                <w:szCs w:val="20"/>
                <w:highlight w:val="none"/>
              </w:rPr>
            </w:pPr>
            <w:r>
              <w:rPr>
                <w:rFonts w:hint="eastAsia" w:ascii="宋体" w:hAnsi="宋体" w:eastAsia="宋体" w:cs="宋体"/>
                <w:b/>
                <w:bCs/>
                <w:color w:val="auto"/>
                <w:kern w:val="0"/>
                <w:sz w:val="20"/>
                <w:szCs w:val="20"/>
                <w:highlight w:val="none"/>
              </w:rPr>
              <w:t>合计</w:t>
            </w:r>
          </w:p>
        </w:tc>
        <w:tc>
          <w:tcPr>
            <w:tcW w:w="2127" w:type="dxa"/>
            <w:vAlign w:val="center"/>
          </w:tcPr>
          <w:p>
            <w:pPr>
              <w:widowControl/>
              <w:adjustRightInd w:val="0"/>
              <w:snapToGrid w:val="0"/>
              <w:jc w:val="center"/>
              <w:rPr>
                <w:rFonts w:ascii="宋体" w:hAnsi="宋体" w:eastAsia="宋体"/>
                <w:b/>
                <w:bCs/>
                <w:color w:val="auto"/>
                <w:kern w:val="0"/>
                <w:sz w:val="20"/>
                <w:szCs w:val="20"/>
                <w:highlight w:val="none"/>
              </w:rPr>
            </w:pPr>
            <w:r>
              <w:rPr>
                <w:rFonts w:hint="eastAsia" w:ascii="宋体" w:hAnsi="宋体" w:eastAsia="宋体"/>
                <w:b/>
                <w:bCs/>
                <w:color w:val="auto"/>
                <w:kern w:val="0"/>
                <w:sz w:val="20"/>
                <w:szCs w:val="20"/>
                <w:highlight w:val="none"/>
              </w:rPr>
              <w:t>100</w:t>
            </w:r>
          </w:p>
        </w:tc>
        <w:tc>
          <w:tcPr>
            <w:tcW w:w="2069" w:type="dxa"/>
            <w:vAlign w:val="center"/>
          </w:tcPr>
          <w:p>
            <w:pPr>
              <w:widowControl/>
              <w:adjustRightInd w:val="0"/>
              <w:snapToGrid w:val="0"/>
              <w:jc w:val="center"/>
              <w:rPr>
                <w:rFonts w:hint="eastAsia" w:ascii="宋体" w:hAnsi="宋体" w:eastAsia="宋体"/>
                <w:b/>
                <w:bCs/>
                <w:color w:val="auto"/>
                <w:kern w:val="0"/>
                <w:sz w:val="20"/>
                <w:szCs w:val="20"/>
                <w:highlight w:val="none"/>
                <w:lang w:eastAsia="zh-CN"/>
              </w:rPr>
            </w:pPr>
            <w:r>
              <w:rPr>
                <w:rFonts w:hint="eastAsia" w:ascii="宋体" w:hAnsi="宋体" w:eastAsia="宋体"/>
                <w:b/>
                <w:bCs/>
                <w:color w:val="auto"/>
                <w:kern w:val="0"/>
                <w:sz w:val="20"/>
                <w:szCs w:val="20"/>
                <w:highlight w:val="none"/>
              </w:rPr>
              <w:t>88.8</w:t>
            </w:r>
            <w:r>
              <w:rPr>
                <w:rFonts w:hint="eastAsia" w:ascii="宋体" w:hAnsi="宋体" w:eastAsia="宋体"/>
                <w:b/>
                <w:bCs/>
                <w:color w:val="auto"/>
                <w:kern w:val="0"/>
                <w:sz w:val="20"/>
                <w:szCs w:val="20"/>
                <w:highlight w:val="none"/>
                <w:lang w:val="en-US" w:eastAsia="zh-CN"/>
              </w:rPr>
              <w:t>4</w:t>
            </w:r>
          </w:p>
        </w:tc>
        <w:tc>
          <w:tcPr>
            <w:tcW w:w="2239" w:type="dxa"/>
            <w:vAlign w:val="center"/>
          </w:tcPr>
          <w:p>
            <w:pPr>
              <w:widowControl/>
              <w:adjustRightInd w:val="0"/>
              <w:snapToGrid w:val="0"/>
              <w:jc w:val="center"/>
              <w:rPr>
                <w:rFonts w:ascii="宋体" w:hAnsi="宋体" w:eastAsia="宋体"/>
                <w:color w:val="auto"/>
                <w:kern w:val="0"/>
                <w:sz w:val="20"/>
                <w:szCs w:val="20"/>
                <w:highlight w:val="none"/>
              </w:rPr>
            </w:pPr>
            <w:r>
              <w:rPr>
                <w:rFonts w:ascii="宋体" w:hAnsi="宋体" w:eastAsia="宋体"/>
                <w:b/>
                <w:bCs/>
                <w:color w:val="auto"/>
                <w:kern w:val="0"/>
                <w:sz w:val="20"/>
                <w:szCs w:val="20"/>
                <w:highlight w:val="none"/>
              </w:rPr>
              <w:t>88.8</w:t>
            </w:r>
            <w:r>
              <w:rPr>
                <w:rFonts w:hint="eastAsia" w:ascii="宋体" w:hAnsi="宋体" w:eastAsia="宋体"/>
                <w:b/>
                <w:bCs/>
                <w:color w:val="auto"/>
                <w:kern w:val="0"/>
                <w:sz w:val="20"/>
                <w:szCs w:val="20"/>
                <w:highlight w:val="none"/>
                <w:lang w:val="en-US" w:eastAsia="zh-CN"/>
              </w:rPr>
              <w:t>4</w:t>
            </w:r>
            <w:r>
              <w:rPr>
                <w:rFonts w:ascii="宋体" w:hAnsi="宋体" w:eastAsia="宋体"/>
                <w:b/>
                <w:bCs/>
                <w:color w:val="auto"/>
                <w:kern w:val="0"/>
                <w:sz w:val="20"/>
                <w:szCs w:val="20"/>
                <w:highlight w:val="none"/>
              </w:rPr>
              <w:t>%</w:t>
            </w:r>
          </w:p>
        </w:tc>
      </w:tr>
      <w:bookmarkEnd w:id="82"/>
      <w:bookmarkEnd w:id="83"/>
      <w:bookmarkEnd w:id="84"/>
    </w:tbl>
    <w:p>
      <w:pPr>
        <w:pStyle w:val="2"/>
        <w:keepNext w:val="0"/>
        <w:keepLines w:val="0"/>
        <w:pageBreakBefore w:val="0"/>
        <w:widowControl w:val="0"/>
        <w:kinsoku/>
        <w:wordWrap/>
        <w:overflowPunct/>
        <w:topLinePunct w:val="0"/>
        <w:autoSpaceDE/>
        <w:autoSpaceDN/>
        <w:bidi w:val="0"/>
        <w:adjustRightInd w:val="0"/>
        <w:snapToGrid w:val="0"/>
        <w:spacing w:before="313" w:beforeLines="100" w:after="0" w:line="360" w:lineRule="auto"/>
        <w:ind w:firstLine="640" w:firstLineChars="200"/>
        <w:textAlignment w:val="auto"/>
        <w:rPr>
          <w:rFonts w:ascii="黑体" w:hAnsi="等线" w:eastAsia="黑体"/>
          <w:b w:val="0"/>
          <w:bCs w:val="0"/>
          <w:color w:val="auto"/>
          <w:kern w:val="2"/>
          <w:sz w:val="32"/>
          <w:szCs w:val="32"/>
          <w:highlight w:val="none"/>
        </w:rPr>
      </w:pPr>
      <w:bookmarkStart w:id="85" w:name="_Toc6996"/>
      <w:bookmarkStart w:id="86" w:name="_Toc32392"/>
      <w:bookmarkStart w:id="87" w:name="_Toc12527"/>
      <w:bookmarkStart w:id="88" w:name="_Toc18604"/>
      <w:bookmarkStart w:id="89" w:name="_Toc55475199"/>
      <w:r>
        <w:rPr>
          <w:rFonts w:hint="eastAsia" w:ascii="黑体" w:hAnsi="等线" w:eastAsia="黑体"/>
          <w:b w:val="0"/>
          <w:bCs w:val="0"/>
          <w:color w:val="auto"/>
          <w:kern w:val="2"/>
          <w:sz w:val="32"/>
          <w:szCs w:val="32"/>
          <w:highlight w:val="none"/>
        </w:rPr>
        <w:t>四、绩效评价指标分析情况</w:t>
      </w:r>
      <w:bookmarkEnd w:id="85"/>
      <w:bookmarkEnd w:id="86"/>
      <w:bookmarkEnd w:id="87"/>
      <w:bookmarkEnd w:id="88"/>
    </w:p>
    <w:p>
      <w:pPr>
        <w:pStyle w:val="3"/>
        <w:keepNext w:val="0"/>
        <w:keepLines w:val="0"/>
        <w:adjustRightInd w:val="0"/>
        <w:snapToGrid w:val="0"/>
        <w:spacing w:before="0" w:after="0" w:line="360" w:lineRule="auto"/>
        <w:ind w:firstLine="640" w:firstLineChars="200"/>
        <w:rPr>
          <w:rFonts w:ascii="楷体_GB2312" w:hAnsi="等线" w:eastAsia="楷体_GB2312" w:cs="Times New Roman"/>
          <w:b w:val="0"/>
          <w:bCs w:val="0"/>
          <w:color w:val="auto"/>
          <w:highlight w:val="none"/>
        </w:rPr>
      </w:pPr>
      <w:bookmarkStart w:id="90" w:name="_Toc336506962"/>
      <w:bookmarkStart w:id="91" w:name="_Toc336506897"/>
      <w:bookmarkStart w:id="92" w:name="_Toc7107"/>
      <w:bookmarkStart w:id="93" w:name="_Toc5805"/>
      <w:bookmarkStart w:id="94" w:name="_Toc22276"/>
      <w:bookmarkStart w:id="95" w:name="_Toc55475191"/>
      <w:bookmarkStart w:id="96" w:name="_Toc5896"/>
      <w:r>
        <w:rPr>
          <w:rFonts w:hint="eastAsia" w:ascii="楷体_GB2312" w:hAnsi="等线" w:eastAsia="楷体_GB2312" w:cs="Times New Roman"/>
          <w:b w:val="0"/>
          <w:bCs w:val="0"/>
          <w:color w:val="auto"/>
          <w:highlight w:val="none"/>
        </w:rPr>
        <w:t>（一）</w:t>
      </w:r>
      <w:bookmarkEnd w:id="90"/>
      <w:bookmarkEnd w:id="91"/>
      <w:r>
        <w:rPr>
          <w:rFonts w:hint="eastAsia" w:ascii="楷体_GB2312" w:hAnsi="等线" w:eastAsia="楷体_GB2312" w:cs="Times New Roman"/>
          <w:b w:val="0"/>
          <w:bCs w:val="0"/>
          <w:color w:val="auto"/>
          <w:highlight w:val="none"/>
        </w:rPr>
        <w:t>决策情况分析</w:t>
      </w:r>
      <w:bookmarkEnd w:id="92"/>
      <w:bookmarkEnd w:id="93"/>
      <w:bookmarkEnd w:id="94"/>
      <w:bookmarkEnd w:id="95"/>
      <w:bookmarkEnd w:id="96"/>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项目立项</w:t>
      </w:r>
      <w:r>
        <w:rPr>
          <w:rFonts w:ascii="仿宋_GB2312" w:hAnsi="仿宋_GB2312" w:cs="仿宋_GB2312"/>
          <w:color w:val="auto"/>
          <w:sz w:val="32"/>
          <w:szCs w:val="32"/>
          <w:highlight w:val="none"/>
        </w:rPr>
        <w:t>符</w:t>
      </w:r>
      <w:r>
        <w:rPr>
          <w:rFonts w:hint="eastAsia" w:ascii="仿宋_GB2312" w:hAnsi="仿宋_GB2312" w:cs="仿宋_GB2312"/>
          <w:color w:val="auto"/>
          <w:sz w:val="32"/>
          <w:szCs w:val="32"/>
          <w:highlight w:val="none"/>
        </w:rPr>
        <w:t>合</w:t>
      </w:r>
      <w:r>
        <w:rPr>
          <w:rFonts w:hint="eastAsia" w:ascii="仿宋_GB2312" w:hAnsi="宋体" w:cs="宋体"/>
          <w:color w:val="auto"/>
          <w:kern w:val="0"/>
          <w:sz w:val="32"/>
          <w:szCs w:val="28"/>
          <w:highlight w:val="none"/>
        </w:rPr>
        <w:t>《十四五规划》</w:t>
      </w:r>
      <w:r>
        <w:rPr>
          <w:rFonts w:hint="eastAsia" w:ascii="仿宋_GB2312" w:hAnsi="仿宋_GB2312" w:cs="仿宋_GB2312"/>
          <w:color w:val="auto"/>
          <w:sz w:val="32"/>
          <w:szCs w:val="32"/>
          <w:highlight w:val="none"/>
        </w:rPr>
        <w:t>及《北京市无线电管理“十四五”规划》等文件精神</w:t>
      </w:r>
      <w:r>
        <w:rPr>
          <w:rFonts w:ascii="仿宋_GB2312" w:hAnsi="仿宋_GB2312" w:cs="仿宋_GB2312"/>
          <w:color w:val="auto"/>
          <w:sz w:val="32"/>
          <w:szCs w:val="32"/>
          <w:highlight w:val="none"/>
        </w:rPr>
        <w:t>和要求，</w:t>
      </w:r>
      <w:r>
        <w:rPr>
          <w:rFonts w:hint="eastAsia" w:ascii="仿宋_GB2312" w:hAnsi="仿宋_GB2312" w:cs="仿宋_GB2312"/>
          <w:color w:val="auto"/>
          <w:sz w:val="32"/>
          <w:szCs w:val="32"/>
          <w:highlight w:val="none"/>
        </w:rPr>
        <w:t>项目</w:t>
      </w:r>
      <w:r>
        <w:rPr>
          <w:rFonts w:ascii="仿宋_GB2312" w:hAnsi="仿宋_GB2312" w:cs="仿宋_GB2312"/>
          <w:color w:val="auto"/>
          <w:sz w:val="32"/>
          <w:szCs w:val="32"/>
          <w:highlight w:val="none"/>
        </w:rPr>
        <w:t>立项经过集体决策，</w:t>
      </w:r>
      <w:r>
        <w:rPr>
          <w:rFonts w:hint="eastAsia" w:ascii="仿宋_GB2312" w:hAnsi="仿宋_GB2312" w:cs="仿宋_GB2312"/>
          <w:color w:val="auto"/>
          <w:sz w:val="32"/>
          <w:szCs w:val="32"/>
          <w:highlight w:val="none"/>
        </w:rPr>
        <w:t>项目立项依据充分、立项程序规范，项目设置了</w:t>
      </w:r>
      <w:r>
        <w:rPr>
          <w:rFonts w:hint="eastAsia" w:ascii="仿宋_GB2312" w:hAnsi="仿宋_GB2312" w:cs="仿宋_GB2312"/>
          <w:color w:val="auto"/>
          <w:sz w:val="32"/>
          <w:szCs w:val="32"/>
          <w:highlight w:val="none"/>
          <w:lang w:eastAsia="zh"/>
        </w:rPr>
        <w:t>区域</w:t>
      </w:r>
      <w:r>
        <w:rPr>
          <w:rFonts w:hint="eastAsia" w:ascii="仿宋_GB2312" w:hAnsi="仿宋_GB2312" w:cs="仿宋_GB2312"/>
          <w:color w:val="auto"/>
          <w:sz w:val="32"/>
          <w:szCs w:val="32"/>
          <w:highlight w:val="none"/>
        </w:rPr>
        <w:t>绩效目标表</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但</w:t>
      </w:r>
      <w:r>
        <w:rPr>
          <w:rFonts w:hint="eastAsia" w:ascii="仿宋_GB2312" w:hAnsi="仿宋_GB2312" w:cs="仿宋_GB2312"/>
          <w:color w:val="auto"/>
          <w:sz w:val="32"/>
          <w:szCs w:val="32"/>
          <w:highlight w:val="none"/>
          <w:lang w:val="en-US" w:eastAsia="zh"/>
        </w:rPr>
        <w:t>部分</w:t>
      </w:r>
      <w:r>
        <w:rPr>
          <w:rFonts w:hint="eastAsia" w:ascii="仿宋_GB2312" w:hAnsi="仿宋_GB2312" w:cs="仿宋_GB2312"/>
          <w:color w:val="auto"/>
          <w:sz w:val="32"/>
          <w:szCs w:val="32"/>
          <w:highlight w:val="none"/>
          <w:lang w:val="en-US" w:eastAsia="zh-CN"/>
        </w:rPr>
        <w:t>项目预算测算不够细化，</w:t>
      </w:r>
      <w:r>
        <w:rPr>
          <w:rFonts w:hint="eastAsia" w:ascii="仿宋_GB2312" w:hAnsi="仿宋_GB2312" w:cs="仿宋_GB2312"/>
          <w:color w:val="auto"/>
          <w:sz w:val="32"/>
          <w:szCs w:val="32"/>
          <w:highlight w:val="none"/>
          <w:lang w:val="en-US" w:eastAsia="zh"/>
        </w:rPr>
        <w:t>区域绩效目标表</w:t>
      </w:r>
      <w:r>
        <w:rPr>
          <w:rFonts w:hint="eastAsia" w:ascii="仿宋_GB2312" w:hAnsi="仿宋_GB2312" w:cs="仿宋_GB2312"/>
          <w:color w:val="auto"/>
          <w:sz w:val="32"/>
          <w:szCs w:val="32"/>
          <w:highlight w:val="none"/>
          <w:lang w:eastAsia="zh"/>
        </w:rPr>
        <w:t>编制不够完善，部分项目</w:t>
      </w:r>
      <w:r>
        <w:rPr>
          <w:rFonts w:hint="eastAsia" w:ascii="仿宋_GB2312" w:hAnsi="仿宋_GB2312" w:cs="仿宋_GB2312"/>
          <w:color w:val="auto"/>
          <w:sz w:val="32"/>
          <w:szCs w:val="32"/>
          <w:highlight w:val="none"/>
          <w:lang w:val="en-US" w:eastAsia="zh-CN"/>
        </w:rPr>
        <w:t>绩效</w:t>
      </w:r>
      <w:r>
        <w:rPr>
          <w:rFonts w:hint="eastAsia" w:ascii="仿宋_GB2312" w:hAnsi="仿宋_GB2312" w:cs="仿宋_GB2312"/>
          <w:color w:val="auto"/>
          <w:sz w:val="32"/>
          <w:szCs w:val="32"/>
          <w:highlight w:val="none"/>
        </w:rPr>
        <w:t>指标</w:t>
      </w:r>
      <w:r>
        <w:rPr>
          <w:rFonts w:hint="eastAsia" w:ascii="仿宋_GB2312" w:hAnsi="仿宋_GB2312" w:cs="仿宋_GB2312"/>
          <w:color w:val="auto"/>
          <w:sz w:val="32"/>
          <w:szCs w:val="32"/>
          <w:highlight w:val="none"/>
          <w:lang w:eastAsia="zh"/>
        </w:rPr>
        <w:t>设置</w:t>
      </w:r>
      <w:r>
        <w:rPr>
          <w:rFonts w:hint="eastAsia" w:ascii="仿宋_GB2312" w:hAnsi="仿宋_GB2312" w:cs="仿宋_GB2312"/>
          <w:color w:val="auto"/>
          <w:sz w:val="32"/>
          <w:szCs w:val="32"/>
          <w:highlight w:val="none"/>
          <w:lang w:val="en-US" w:eastAsia="zh-CN"/>
        </w:rPr>
        <w:t>不够</w:t>
      </w:r>
      <w:r>
        <w:rPr>
          <w:rFonts w:hint="eastAsia" w:ascii="仿宋_GB2312" w:hAnsi="仿宋_GB2312" w:cs="仿宋_GB2312"/>
          <w:color w:val="auto"/>
          <w:sz w:val="32"/>
          <w:szCs w:val="32"/>
          <w:highlight w:val="none"/>
          <w:lang w:val="en-US" w:eastAsia="zh"/>
        </w:rPr>
        <w:t>凝练</w:t>
      </w:r>
      <w:r>
        <w:rPr>
          <w:rFonts w:hint="eastAsia" w:ascii="仿宋_GB2312" w:hAnsi="仿宋_GB2312" w:cs="仿宋_GB2312"/>
          <w:color w:val="auto"/>
          <w:sz w:val="32"/>
          <w:szCs w:val="32"/>
          <w:highlight w:val="none"/>
        </w:rPr>
        <w:t>，不利于</w:t>
      </w:r>
      <w:r>
        <w:rPr>
          <w:rFonts w:hint="eastAsia" w:ascii="仿宋_GB2312" w:hAnsi="仿宋_GB2312" w:cs="仿宋_GB2312"/>
          <w:color w:val="auto"/>
          <w:sz w:val="32"/>
          <w:szCs w:val="32"/>
          <w:highlight w:val="none"/>
          <w:lang w:eastAsia="zh"/>
        </w:rPr>
        <w:t>清晰</w:t>
      </w:r>
      <w:r>
        <w:rPr>
          <w:rFonts w:hint="eastAsia" w:ascii="仿宋_GB2312" w:hAnsi="仿宋_GB2312" w:cs="仿宋_GB2312"/>
          <w:color w:val="auto"/>
          <w:sz w:val="32"/>
          <w:szCs w:val="32"/>
          <w:highlight w:val="none"/>
        </w:rPr>
        <w:t>反映项目工作内容和预期产出效果。</w:t>
      </w:r>
      <w:r>
        <w:rPr>
          <w:rFonts w:hint="eastAsia" w:ascii="仿宋_GB2312" w:hAnsi="仿宋"/>
          <w:color w:val="auto"/>
          <w:sz w:val="32"/>
          <w:szCs w:val="32"/>
          <w:highlight w:val="none"/>
        </w:rPr>
        <w:t>该指标分值10分，得分为</w:t>
      </w:r>
      <w:r>
        <w:rPr>
          <w:rFonts w:hint="eastAsia" w:ascii="仿宋_GB2312" w:hAnsi="仿宋"/>
          <w:color w:val="auto"/>
          <w:sz w:val="32"/>
          <w:szCs w:val="32"/>
          <w:highlight w:val="none"/>
          <w:lang w:val="en-US" w:eastAsia="zh-CN"/>
        </w:rPr>
        <w:t>8.50</w:t>
      </w:r>
      <w:r>
        <w:rPr>
          <w:rFonts w:hint="eastAsia" w:ascii="仿宋_GB2312" w:hAnsi="仿宋"/>
          <w:color w:val="auto"/>
          <w:sz w:val="32"/>
          <w:szCs w:val="32"/>
          <w:highlight w:val="none"/>
        </w:rPr>
        <w:t>分，得分率</w:t>
      </w:r>
      <w:r>
        <w:rPr>
          <w:rFonts w:hint="eastAsia" w:ascii="仿宋_GB2312" w:hAnsi="仿宋"/>
          <w:color w:val="auto"/>
          <w:sz w:val="32"/>
          <w:szCs w:val="32"/>
          <w:highlight w:val="none"/>
          <w:lang w:val="en-US" w:eastAsia="zh-CN"/>
        </w:rPr>
        <w:t>85.00</w:t>
      </w:r>
      <w:r>
        <w:rPr>
          <w:rFonts w:hint="eastAsia" w:ascii="仿宋_GB2312" w:hAnsi="仿宋"/>
          <w:color w:val="auto"/>
          <w:sz w:val="32"/>
          <w:szCs w:val="32"/>
          <w:highlight w:val="none"/>
        </w:rPr>
        <w:t>%。评分见表</w:t>
      </w:r>
      <w:r>
        <w:rPr>
          <w:rFonts w:hint="eastAsia" w:ascii="仿宋_GB2312" w:hAnsi="仿宋"/>
          <w:color w:val="auto"/>
          <w:sz w:val="32"/>
          <w:szCs w:val="32"/>
          <w:highlight w:val="none"/>
          <w:lang w:val="en-US" w:eastAsia="zh-CN"/>
        </w:rPr>
        <w:t>7</w:t>
      </w:r>
      <w:r>
        <w:rPr>
          <w:rFonts w:hint="eastAsia" w:ascii="仿宋_GB2312" w:hAnsi="仿宋"/>
          <w:color w:val="auto"/>
          <w:sz w:val="32"/>
          <w:szCs w:val="32"/>
          <w:highlight w:val="none"/>
        </w:rPr>
        <w:t>。</w:t>
      </w:r>
    </w:p>
    <w:p>
      <w:pPr>
        <w:adjustRightInd w:val="0"/>
        <w:snapToGrid w:val="0"/>
        <w:spacing w:line="360" w:lineRule="auto"/>
        <w:jc w:val="center"/>
        <w:rPr>
          <w:rFonts w:ascii="黑体" w:eastAsia="黑体"/>
          <w:color w:val="auto"/>
          <w:sz w:val="28"/>
          <w:szCs w:val="28"/>
          <w:highlight w:val="none"/>
        </w:rPr>
      </w:pPr>
      <w:r>
        <w:rPr>
          <w:rFonts w:hint="eastAsia" w:ascii="黑体" w:hAnsi="黑体" w:eastAsia="黑体"/>
          <w:color w:val="auto"/>
          <w:sz w:val="28"/>
          <w:szCs w:val="28"/>
          <w:highlight w:val="none"/>
        </w:rPr>
        <w:t>表</w:t>
      </w:r>
      <w:r>
        <w:rPr>
          <w:rFonts w:hint="eastAsia" w:ascii="黑体" w:hAnsi="黑体" w:eastAsia="黑体"/>
          <w:color w:val="auto"/>
          <w:sz w:val="28"/>
          <w:szCs w:val="28"/>
          <w:highlight w:val="none"/>
          <w:lang w:val="en-US" w:eastAsia="zh-CN"/>
        </w:rPr>
        <w:t>7</w:t>
      </w:r>
      <w:r>
        <w:rPr>
          <w:rFonts w:hint="eastAsia" w:ascii="黑体" w:eastAsia="黑体"/>
          <w:color w:val="auto"/>
          <w:sz w:val="28"/>
          <w:szCs w:val="28"/>
          <w:highlight w:val="none"/>
        </w:rPr>
        <w:t>：决策指标设定及评分情况表</w:t>
      </w:r>
    </w:p>
    <w:tbl>
      <w:tblPr>
        <w:tblStyle w:val="16"/>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98"/>
        <w:gridCol w:w="1966"/>
        <w:gridCol w:w="2571"/>
        <w:gridCol w:w="1493"/>
        <w:gridCol w:w="1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882"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一级指标</w:t>
            </w:r>
          </w:p>
        </w:tc>
        <w:tc>
          <w:tcPr>
            <w:tcW w:w="1085"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二级指标</w:t>
            </w:r>
          </w:p>
        </w:tc>
        <w:tc>
          <w:tcPr>
            <w:tcW w:w="1419"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三级指标</w:t>
            </w:r>
          </w:p>
        </w:tc>
        <w:tc>
          <w:tcPr>
            <w:tcW w:w="824"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分值</w:t>
            </w:r>
          </w:p>
        </w:tc>
        <w:tc>
          <w:tcPr>
            <w:tcW w:w="787"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82" w:type="pct"/>
            <w:vMerge w:val="restart"/>
            <w:tcBorders>
              <w:top w:val="nil"/>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决策</w:t>
            </w:r>
          </w:p>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（10分）</w:t>
            </w:r>
          </w:p>
        </w:tc>
        <w:tc>
          <w:tcPr>
            <w:tcW w:w="1085" w:type="pct"/>
            <w:vMerge w:val="restart"/>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项目立项</w:t>
            </w:r>
          </w:p>
        </w:tc>
        <w:tc>
          <w:tcPr>
            <w:tcW w:w="1419" w:type="pct"/>
            <w:tcBorders>
              <w:top w:val="single" w:color="auto" w:sz="4" w:space="0"/>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立项依据充分性</w:t>
            </w:r>
          </w:p>
        </w:tc>
        <w:tc>
          <w:tcPr>
            <w:tcW w:w="149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1427"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82"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1085" w:type="pct"/>
            <w:vMerge w:val="continue"/>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1419" w:type="pct"/>
            <w:tcBorders>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立项程序规范性</w:t>
            </w:r>
          </w:p>
        </w:tc>
        <w:tc>
          <w:tcPr>
            <w:tcW w:w="149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1427"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82"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085" w:type="pct"/>
            <w:vMerge w:val="restart"/>
            <w:tcBorders>
              <w:top w:val="nil"/>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绩效目标</w:t>
            </w:r>
          </w:p>
        </w:tc>
        <w:tc>
          <w:tcPr>
            <w:tcW w:w="1419"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绩效目标合理性</w:t>
            </w:r>
          </w:p>
        </w:tc>
        <w:tc>
          <w:tcPr>
            <w:tcW w:w="149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1427"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82"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085" w:type="pct"/>
            <w:vMerge w:val="continue"/>
            <w:tcBorders>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p>
        </w:tc>
        <w:tc>
          <w:tcPr>
            <w:tcW w:w="1419"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绩效目标明确性</w:t>
            </w:r>
          </w:p>
        </w:tc>
        <w:tc>
          <w:tcPr>
            <w:tcW w:w="149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1427"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82" w:type="pct"/>
            <w:vMerge w:val="continue"/>
            <w:tcBorders>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1085" w:type="pct"/>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资金投入</w:t>
            </w:r>
          </w:p>
        </w:tc>
        <w:tc>
          <w:tcPr>
            <w:tcW w:w="1419"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分配合理性</w:t>
            </w:r>
          </w:p>
        </w:tc>
        <w:tc>
          <w:tcPr>
            <w:tcW w:w="149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1427"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val="en-US" w:eastAsia="zh-CN" w:bidi="ar"/>
              </w:rPr>
              <w:t>1</w:t>
            </w:r>
            <w:r>
              <w:rPr>
                <w:rFonts w:hint="eastAsia" w:ascii="宋体" w:hAnsi="宋体" w:eastAsia="宋体" w:cs="宋体"/>
                <w:color w:val="auto"/>
                <w:kern w:val="0"/>
                <w:sz w:val="20"/>
                <w:szCs w:val="20"/>
                <w:highlight w:val="none"/>
                <w:lang w:bidi="ar"/>
              </w:rPr>
              <w:t>.00</w:t>
            </w:r>
          </w:p>
        </w:tc>
      </w:tr>
    </w:tbl>
    <w:p>
      <w:pPr>
        <w:adjustRightInd w:val="0"/>
        <w:snapToGrid w:val="0"/>
        <w:spacing w:line="360" w:lineRule="auto"/>
        <w:ind w:firstLine="640" w:firstLineChars="200"/>
        <w:rPr>
          <w:rFonts w:ascii="仿宋_GB2312" w:hAnsi="仿宋_GB2312" w:cs="仿宋_GB2312"/>
          <w:color w:val="auto"/>
          <w:sz w:val="32"/>
          <w:szCs w:val="32"/>
          <w:highlight w:val="none"/>
        </w:rPr>
      </w:pP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97" w:name="_Toc22015"/>
      <w:bookmarkStart w:id="98" w:name="_Toc5934"/>
      <w:bookmarkStart w:id="99" w:name="_Toc13235"/>
      <w:r>
        <w:rPr>
          <w:rFonts w:hint="eastAsia" w:ascii="仿宋_GB2312" w:hAnsi="仿宋_GB2312" w:cs="仿宋_GB2312"/>
          <w:iCs/>
          <w:color w:val="auto"/>
          <w:sz w:val="32"/>
          <w:szCs w:val="32"/>
          <w:highlight w:val="none"/>
        </w:rPr>
        <w:t>1.项目立项情况分析</w:t>
      </w:r>
      <w:bookmarkEnd w:id="97"/>
      <w:bookmarkEnd w:id="98"/>
      <w:bookmarkEnd w:id="99"/>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项目按照</w:t>
      </w:r>
      <w:r>
        <w:rPr>
          <w:rFonts w:hint="eastAsia" w:ascii="仿宋_GB2312" w:hAnsi="宋体" w:cs="宋体"/>
          <w:color w:val="auto"/>
          <w:kern w:val="0"/>
          <w:sz w:val="32"/>
          <w:szCs w:val="28"/>
          <w:highlight w:val="none"/>
        </w:rPr>
        <w:t>《十四五规划》</w:t>
      </w:r>
      <w:r>
        <w:rPr>
          <w:rFonts w:hint="eastAsia" w:ascii="仿宋_GB2312" w:hAnsi="仿宋_GB2312" w:cs="仿宋_GB2312"/>
          <w:color w:val="auto"/>
          <w:sz w:val="32"/>
          <w:szCs w:val="32"/>
          <w:highlight w:val="none"/>
        </w:rPr>
        <w:t>及《北京市无线电管理“十四五”规划》等文件精神设立，与市经信局“监测分析本市工业、软件和信息服务业、信息化的运行态势，统计并发布相关信息。协调解决产业运行和发展中的有关问题，并提出政策建议；统筹协调本市信息化基础设施的规划和管理；负责对无线电频率资源和无线电台（站）进行统一规划和管理。负责研制、生产、进口无线电发射设备的审核工作。协调处理电磁干扰事宜，维护空中电波秩序”等职能相符，项目立项依据充分。</w:t>
      </w:r>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市经信局根据</w:t>
      </w:r>
      <w:r>
        <w:rPr>
          <w:rFonts w:hint="eastAsia" w:ascii="仿宋_GB2312"/>
          <w:color w:val="auto"/>
          <w:sz w:val="32"/>
          <w:szCs w:val="32"/>
          <w:highlight w:val="none"/>
          <w:lang w:eastAsia="zh-CN"/>
        </w:rPr>
        <w:t>《工业和信息化部无线电管理局关于做好2023年无线电管理经费使用计划报送工作的通知》（工无函〔2022〕243号）</w:t>
      </w:r>
      <w:r>
        <w:rPr>
          <w:rFonts w:hint="eastAsia" w:ascii="仿宋_GB2312" w:hAnsi="仿宋_GB2312" w:cs="仿宋_GB2312"/>
          <w:color w:val="auto"/>
          <w:sz w:val="32"/>
          <w:szCs w:val="32"/>
          <w:highlight w:val="none"/>
        </w:rPr>
        <w:t>要求，通知各处室、监测站提交202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年申报项目材料，组织召开党组会，逐项研究了各处室及监测站202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申报项目，要求根据会上讨论意见对相关项目进行修改。根据党组会意见，各相关负责人调整形成项目申报文本终稿。相关预算资料准备完备后，市经信局向工信部申报专项资金，各项目立项经过了集体决策，资金申报流程符合《北京市无线电管理局项目与资金管理办法》的相关规定。</w:t>
      </w:r>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综上，项目立项依据充分，立项程序规范。</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00" w:name="_Toc3805"/>
      <w:bookmarkStart w:id="101" w:name="_Toc20426"/>
      <w:bookmarkStart w:id="102" w:name="_Toc2378"/>
      <w:r>
        <w:rPr>
          <w:rFonts w:hint="eastAsia" w:ascii="仿宋_GB2312" w:hAnsi="仿宋_GB2312" w:cs="仿宋_GB2312"/>
          <w:iCs/>
          <w:color w:val="auto"/>
          <w:sz w:val="32"/>
          <w:szCs w:val="32"/>
          <w:highlight w:val="none"/>
        </w:rPr>
        <w:t>2.绩效目标情况分析</w:t>
      </w:r>
      <w:bookmarkEnd w:id="100"/>
      <w:bookmarkEnd w:id="101"/>
      <w:bookmarkEnd w:id="102"/>
    </w:p>
    <w:p>
      <w:pPr>
        <w:adjustRightInd w:val="0"/>
        <w:snapToGrid w:val="0"/>
        <w:spacing w:line="360" w:lineRule="auto"/>
        <w:ind w:firstLine="640" w:firstLineChars="200"/>
        <w:rPr>
          <w:rFonts w:hint="eastAsia" w:ascii="仿宋_GB2312" w:hAnsi="仿宋_GB2312" w:cs="仿宋_GB2312"/>
          <w:strike w:val="0"/>
          <w:color w:val="auto"/>
          <w:sz w:val="32"/>
          <w:szCs w:val="32"/>
          <w:highlight w:val="none"/>
          <w:lang w:eastAsia="zh"/>
        </w:rPr>
      </w:pPr>
      <w:r>
        <w:rPr>
          <w:rFonts w:hint="eastAsia" w:ascii="仿宋_GB2312" w:hAnsi="仿宋_GB2312" w:cs="仿宋_GB2312"/>
          <w:color w:val="auto"/>
          <w:sz w:val="32"/>
          <w:szCs w:val="32"/>
          <w:highlight w:val="none"/>
        </w:rPr>
        <w:t>按照</w:t>
      </w:r>
      <w:r>
        <w:rPr>
          <w:rFonts w:hint="eastAsia" w:ascii="仿宋_GB2312" w:hAnsi="仿宋_GB2312" w:cs="仿宋_GB2312"/>
          <w:color w:val="auto"/>
          <w:sz w:val="32"/>
          <w:szCs w:val="32"/>
          <w:highlight w:val="none"/>
          <w:lang w:eastAsia="zh-CN"/>
        </w:rPr>
        <w:t>《工业和信息化部无线电管理局关于做好2023年无线电管理经费使用计划报送工作的通知》（工无函〔2022〕243号）</w:t>
      </w:r>
      <w:r>
        <w:rPr>
          <w:rFonts w:hint="eastAsia" w:ascii="仿宋_GB2312" w:hAnsi="仿宋_GB2312" w:cs="仿宋_GB2312"/>
          <w:color w:val="auto"/>
          <w:sz w:val="32"/>
          <w:szCs w:val="32"/>
          <w:highlight w:val="none"/>
        </w:rPr>
        <w:t>要求，结合北京本地实际情况，针对整体</w:t>
      </w:r>
      <w:r>
        <w:rPr>
          <w:rFonts w:hint="eastAsia" w:ascii="仿宋_GB2312" w:hAnsi="仿宋_GB2312" w:cs="仿宋_GB2312"/>
          <w:color w:val="auto"/>
          <w:sz w:val="32"/>
          <w:szCs w:val="32"/>
          <w:highlight w:val="none"/>
          <w:lang w:val="en-US" w:eastAsia="zh-CN"/>
        </w:rPr>
        <w:t>无线电管理经费</w:t>
      </w:r>
      <w:r>
        <w:rPr>
          <w:rFonts w:hint="eastAsia" w:ascii="仿宋_GB2312" w:hAnsi="仿宋_GB2312" w:cs="仿宋_GB2312"/>
          <w:color w:val="auto"/>
          <w:sz w:val="32"/>
          <w:szCs w:val="32"/>
          <w:highlight w:val="none"/>
        </w:rPr>
        <w:t>资金执行效果，市经信局填写了《2023年频占费资金绩效目标表》</w:t>
      </w:r>
      <w:r>
        <w:rPr>
          <w:rFonts w:hint="eastAsia" w:ascii="仿宋_GB2312" w:hAnsi="仿宋_GB2312" w:cs="仿宋_GB2312"/>
          <w:color w:val="auto"/>
          <w:sz w:val="32"/>
          <w:szCs w:val="32"/>
          <w:highlight w:val="none"/>
          <w:lang w:eastAsia="zh"/>
        </w:rPr>
        <w:t>和《北京市2023年无线电发射设备型号核准资金绩效目标》</w:t>
      </w:r>
      <w:r>
        <w:rPr>
          <w:rFonts w:hint="eastAsia" w:ascii="仿宋_GB2312" w:hAnsi="仿宋_GB2312" w:cs="仿宋_GB2312"/>
          <w:color w:val="auto"/>
          <w:sz w:val="32"/>
          <w:szCs w:val="32"/>
          <w:highlight w:val="none"/>
        </w:rPr>
        <w:t>，项目绩效指标</w:t>
      </w:r>
      <w:r>
        <w:rPr>
          <w:rFonts w:hint="eastAsia" w:ascii="仿宋_GB2312" w:hAnsi="仿宋_GB2312" w:cs="仿宋_GB2312"/>
          <w:color w:val="auto"/>
          <w:sz w:val="32"/>
          <w:szCs w:val="32"/>
          <w:highlight w:val="none"/>
          <w:lang w:eastAsia="zh"/>
        </w:rPr>
        <w:t>明确细化</w:t>
      </w:r>
      <w:r>
        <w:rPr>
          <w:rFonts w:hint="eastAsia" w:ascii="仿宋_GB2312" w:hAnsi="仿宋_GB2312" w:cs="仿宋_GB2312"/>
          <w:color w:val="auto"/>
          <w:sz w:val="32"/>
          <w:szCs w:val="32"/>
          <w:highlight w:val="none"/>
        </w:rPr>
        <w:t>，基本涵盖了年度主要工作内容，与年度预算资金投入匹配。同时，市经信局按照北京市财政绩效管理要求制定了各子项目绩效目标，并进一步细化为产出</w:t>
      </w:r>
      <w:r>
        <w:rPr>
          <w:rFonts w:hint="eastAsia" w:ascii="仿宋_GB2312" w:hAnsi="仿宋_GB2312" w:cs="仿宋_GB2312"/>
          <w:color w:val="auto"/>
          <w:sz w:val="32"/>
          <w:szCs w:val="32"/>
          <w:highlight w:val="none"/>
          <w:lang w:eastAsia="zh"/>
        </w:rPr>
        <w:t>、</w:t>
      </w:r>
      <w:r>
        <w:rPr>
          <w:rFonts w:hint="eastAsia" w:ascii="仿宋_GB2312" w:hAnsi="仿宋_GB2312" w:cs="仿宋_GB2312"/>
          <w:color w:val="auto"/>
          <w:sz w:val="32"/>
          <w:szCs w:val="32"/>
          <w:highlight w:val="none"/>
        </w:rPr>
        <w:t>效益</w:t>
      </w:r>
      <w:r>
        <w:rPr>
          <w:rFonts w:hint="eastAsia" w:ascii="仿宋_GB2312" w:hAnsi="仿宋_GB2312" w:cs="仿宋_GB2312"/>
          <w:color w:val="auto"/>
          <w:sz w:val="32"/>
          <w:szCs w:val="32"/>
          <w:highlight w:val="none"/>
          <w:lang w:eastAsia="zh"/>
        </w:rPr>
        <w:t>和满意度指标</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绩效指标细化</w:t>
      </w:r>
      <w:r>
        <w:rPr>
          <w:rFonts w:hint="eastAsia" w:ascii="仿宋_GB2312" w:hAnsi="仿宋_GB2312" w:cs="仿宋_GB2312"/>
          <w:color w:val="auto"/>
          <w:sz w:val="32"/>
          <w:szCs w:val="32"/>
          <w:highlight w:val="none"/>
          <w:lang w:eastAsia="zh"/>
        </w:rPr>
        <w:t>程度和可衡量性</w:t>
      </w:r>
      <w:r>
        <w:rPr>
          <w:rFonts w:hint="eastAsia" w:ascii="仿宋_GB2312" w:hAnsi="仿宋_GB2312" w:cs="仿宋_GB2312"/>
          <w:color w:val="auto"/>
          <w:sz w:val="32"/>
          <w:szCs w:val="32"/>
          <w:highlight w:val="none"/>
        </w:rPr>
        <w:t>较好。</w:t>
      </w:r>
      <w:r>
        <w:rPr>
          <w:rFonts w:hint="eastAsia" w:ascii="仿宋_GB2312" w:hAnsi="仿宋_GB2312" w:cs="仿宋_GB2312"/>
          <w:strike w:val="0"/>
          <w:color w:val="auto"/>
          <w:sz w:val="32"/>
          <w:szCs w:val="32"/>
          <w:highlight w:val="none"/>
        </w:rPr>
        <w:t>但</w:t>
      </w:r>
      <w:r>
        <w:rPr>
          <w:rFonts w:hint="eastAsia" w:ascii="仿宋_GB2312" w:hAnsi="仿宋_GB2312" w:cs="仿宋_GB2312"/>
          <w:color w:val="auto"/>
          <w:sz w:val="32"/>
          <w:szCs w:val="32"/>
          <w:highlight w:val="none"/>
          <w:lang w:val="en-US" w:eastAsia="zh-CN"/>
        </w:rPr>
        <w:t>区域绩效目标表编制</w:t>
      </w:r>
      <w:r>
        <w:rPr>
          <w:rFonts w:hint="eastAsia" w:ascii="仿宋_GB2312" w:hAnsi="仿宋_GB2312" w:cs="仿宋_GB2312"/>
          <w:strike w:val="0"/>
          <w:color w:val="auto"/>
          <w:sz w:val="32"/>
          <w:szCs w:val="32"/>
          <w:highlight w:val="none"/>
          <w:lang w:eastAsia="zh"/>
        </w:rPr>
        <w:t>还不够规范，</w:t>
      </w:r>
      <w:r>
        <w:rPr>
          <w:rFonts w:hint="eastAsia" w:ascii="仿宋_GB2312" w:hAnsi="仿宋_GB2312" w:cs="仿宋_GB2312"/>
          <w:b/>
          <w:bCs/>
          <w:strike w:val="0"/>
          <w:color w:val="auto"/>
          <w:sz w:val="32"/>
          <w:szCs w:val="32"/>
          <w:highlight w:val="none"/>
          <w:lang w:eastAsia="zh"/>
        </w:rPr>
        <w:t>一是</w:t>
      </w:r>
      <w:r>
        <w:rPr>
          <w:rFonts w:hint="eastAsia" w:ascii="仿宋_GB2312" w:hAnsi="仿宋_GB2312" w:cs="仿宋_GB2312"/>
          <w:color w:val="auto"/>
          <w:sz w:val="32"/>
          <w:szCs w:val="32"/>
          <w:highlight w:val="none"/>
          <w:lang w:val="en-US" w:eastAsia="zh-CN"/>
        </w:rPr>
        <w:t>市经信局</w:t>
      </w:r>
      <w:r>
        <w:rPr>
          <w:rFonts w:hint="eastAsia" w:ascii="仿宋_GB2312" w:hAnsi="仿宋_GB2312" w:cs="仿宋_GB2312"/>
          <w:strike w:val="0"/>
          <w:color w:val="auto"/>
          <w:sz w:val="32"/>
          <w:szCs w:val="32"/>
          <w:highlight w:val="none"/>
          <w:lang w:val="en-US" w:eastAsia="zh-CN"/>
        </w:rPr>
        <w:t>目前结合项目内容编制了《2023年频占费资金绩效目标表》和《北京市2023年无线电发射设备型号核准资金绩效目标》，未能结合项目提炼为符合北京地区的区域绩效目标表</w:t>
      </w:r>
      <w:r>
        <w:rPr>
          <w:rFonts w:hint="eastAsia" w:ascii="仿宋_GB2312" w:hAnsi="仿宋_GB2312" w:cs="仿宋_GB2312"/>
          <w:strike w:val="0"/>
          <w:color w:val="auto"/>
          <w:sz w:val="32"/>
          <w:szCs w:val="32"/>
          <w:highlight w:val="none"/>
          <w:lang w:eastAsia="zh"/>
        </w:rPr>
        <w:t>；</w:t>
      </w:r>
      <w:r>
        <w:rPr>
          <w:rFonts w:hint="eastAsia" w:ascii="仿宋_GB2312" w:hAnsi="仿宋_GB2312" w:cs="仿宋_GB2312"/>
          <w:b/>
          <w:bCs/>
          <w:strike w:val="0"/>
          <w:color w:val="auto"/>
          <w:sz w:val="32"/>
          <w:szCs w:val="32"/>
          <w:highlight w:val="none"/>
          <w:lang w:eastAsia="zh"/>
        </w:rPr>
        <w:t>二是</w:t>
      </w:r>
      <w:r>
        <w:rPr>
          <w:rFonts w:hint="eastAsia" w:ascii="仿宋_GB2312" w:hAnsi="仿宋_GB2312" w:cs="仿宋_GB2312"/>
          <w:strike w:val="0"/>
          <w:color w:val="auto"/>
          <w:sz w:val="32"/>
          <w:szCs w:val="32"/>
          <w:highlight w:val="none"/>
          <w:lang w:val="en-US" w:eastAsia="zh-CN"/>
        </w:rPr>
        <w:t>区域绩效目标表中的</w:t>
      </w:r>
      <w:r>
        <w:rPr>
          <w:rFonts w:hint="eastAsia" w:ascii="仿宋_GB2312" w:hAnsi="仿宋_GB2312" w:cs="仿宋_GB2312"/>
          <w:strike w:val="0"/>
          <w:color w:val="auto"/>
          <w:sz w:val="32"/>
          <w:szCs w:val="32"/>
          <w:highlight w:val="none"/>
          <w:lang w:eastAsia="zh"/>
        </w:rPr>
        <w:t>绩效指标设置提炼程度不足，绩效指标设置</w:t>
      </w:r>
      <w:r>
        <w:rPr>
          <w:rFonts w:hint="eastAsia" w:ascii="仿宋_GB2312" w:hAnsi="仿宋_GB2312" w:cs="仿宋_GB2312"/>
          <w:strike w:val="0"/>
          <w:color w:val="auto"/>
          <w:sz w:val="32"/>
          <w:szCs w:val="32"/>
          <w:highlight w:val="none"/>
          <w:lang w:eastAsia="zh-CN"/>
        </w:rPr>
        <w:t>的</w:t>
      </w:r>
      <w:r>
        <w:rPr>
          <w:rFonts w:hint="eastAsia" w:ascii="仿宋_GB2312" w:hAnsi="仿宋_GB2312" w:cs="仿宋_GB2312"/>
          <w:strike w:val="0"/>
          <w:color w:val="auto"/>
          <w:sz w:val="32"/>
          <w:szCs w:val="32"/>
          <w:highlight w:val="none"/>
          <w:lang w:val="en-US" w:eastAsia="zh-CN"/>
        </w:rPr>
        <w:t>条数</w:t>
      </w:r>
      <w:r>
        <w:rPr>
          <w:rFonts w:hint="eastAsia" w:ascii="仿宋_GB2312" w:hAnsi="仿宋_GB2312" w:cs="仿宋_GB2312"/>
          <w:strike w:val="0"/>
          <w:color w:val="auto"/>
          <w:sz w:val="32"/>
          <w:szCs w:val="32"/>
          <w:highlight w:val="none"/>
          <w:lang w:eastAsia="zh"/>
        </w:rPr>
        <w:t>较多，</w:t>
      </w:r>
      <w:r>
        <w:rPr>
          <w:rFonts w:hint="eastAsia" w:ascii="仿宋_GB2312" w:hAnsi="仿宋_GB2312" w:cs="仿宋_GB2312"/>
          <w:strike w:val="0"/>
          <w:color w:val="auto"/>
          <w:sz w:val="32"/>
          <w:szCs w:val="32"/>
          <w:highlight w:val="none"/>
          <w:lang w:val="en-US" w:eastAsia="zh-CN"/>
        </w:rPr>
        <w:t>未能结合工作内容特点和指标情况予以提炼，</w:t>
      </w:r>
      <w:r>
        <w:rPr>
          <w:rFonts w:hint="eastAsia" w:ascii="仿宋_GB2312" w:hAnsi="仿宋_GB2312" w:cs="仿宋_GB2312"/>
          <w:strike w:val="0"/>
          <w:color w:val="auto"/>
          <w:sz w:val="32"/>
          <w:szCs w:val="32"/>
          <w:highlight w:val="none"/>
          <w:lang w:eastAsia="zh"/>
        </w:rPr>
        <w:t>如</w:t>
      </w:r>
      <w:r>
        <w:rPr>
          <w:rFonts w:hint="eastAsia" w:ascii="仿宋_GB2312" w:hAnsi="仿宋_GB2312" w:cs="仿宋_GB2312"/>
          <w:color w:val="auto"/>
          <w:sz w:val="32"/>
          <w:szCs w:val="32"/>
          <w:highlight w:val="none"/>
          <w:lang w:eastAsia="zh"/>
        </w:rPr>
        <w:t>产出数量指标</w:t>
      </w:r>
      <w:r>
        <w:rPr>
          <w:rFonts w:hint="eastAsia" w:ascii="仿宋_GB2312" w:hAnsi="仿宋_GB2312" w:cs="仿宋_GB2312"/>
          <w:strike w:val="0"/>
          <w:color w:val="auto"/>
          <w:sz w:val="32"/>
          <w:szCs w:val="32"/>
          <w:highlight w:val="none"/>
          <w:lang w:eastAsia="zh"/>
        </w:rPr>
        <w:t>“印制新版无线电台执照（卫星地球站）2000张”</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eastAsia="zh"/>
        </w:rPr>
        <w:t>“印制新版无线电台执照（地面无线电业务）10000张”</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eastAsia="zh"/>
        </w:rPr>
        <w:t>“印制无线电台执照（业余无线电业务）2000</w:t>
      </w:r>
      <w:r>
        <w:rPr>
          <w:rFonts w:hint="eastAsia" w:ascii="仿宋_GB2312" w:hAnsi="仿宋_GB2312" w:cs="仿宋_GB2312"/>
          <w:strike w:val="0"/>
          <w:color w:val="auto"/>
          <w:sz w:val="32"/>
          <w:szCs w:val="32"/>
          <w:highlight w:val="none"/>
          <w:lang w:val="en-US" w:eastAsia="zh-CN"/>
        </w:rPr>
        <w:t>0</w:t>
      </w:r>
      <w:r>
        <w:rPr>
          <w:rFonts w:hint="eastAsia" w:ascii="仿宋_GB2312" w:hAnsi="仿宋_GB2312" w:cs="仿宋_GB2312"/>
          <w:strike w:val="0"/>
          <w:color w:val="auto"/>
          <w:sz w:val="32"/>
          <w:szCs w:val="32"/>
          <w:highlight w:val="none"/>
          <w:lang w:eastAsia="zh"/>
        </w:rPr>
        <w:t>本”等指标</w:t>
      </w:r>
      <w:r>
        <w:rPr>
          <w:rFonts w:hint="eastAsia" w:ascii="仿宋_GB2312" w:hAnsi="仿宋_GB2312" w:cs="仿宋_GB2312"/>
          <w:strike w:val="0"/>
          <w:color w:val="auto"/>
          <w:sz w:val="32"/>
          <w:szCs w:val="32"/>
          <w:highlight w:val="none"/>
          <w:lang w:eastAsia="zh-CN"/>
        </w:rPr>
        <w:t>，可</w:t>
      </w:r>
      <w:r>
        <w:rPr>
          <w:rFonts w:hint="eastAsia" w:ascii="仿宋_GB2312" w:hAnsi="仿宋_GB2312" w:cs="仿宋_GB2312"/>
          <w:strike w:val="0"/>
          <w:color w:val="auto"/>
          <w:sz w:val="32"/>
          <w:szCs w:val="32"/>
          <w:highlight w:val="none"/>
          <w:lang w:val="en-US" w:eastAsia="zh-CN"/>
        </w:rPr>
        <w:t>提炼为“印制无线电台执照（含卫星地球站、地面无线电、业务无线电等），≥32000张（本）”</w:t>
      </w:r>
      <w:r>
        <w:rPr>
          <w:rFonts w:hint="eastAsia" w:ascii="仿宋_GB2312" w:hAnsi="仿宋_GB2312" w:cs="仿宋_GB2312"/>
          <w:strike w:val="0"/>
          <w:color w:val="auto"/>
          <w:sz w:val="32"/>
          <w:szCs w:val="32"/>
          <w:highlight w:val="none"/>
          <w:lang w:eastAsia="zh"/>
        </w:rPr>
        <w:t>。</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03" w:name="_Toc30925"/>
      <w:bookmarkStart w:id="104" w:name="_Toc4875"/>
      <w:bookmarkStart w:id="105" w:name="_Toc2137"/>
      <w:r>
        <w:rPr>
          <w:rFonts w:hint="eastAsia" w:ascii="仿宋_GB2312" w:hAnsi="仿宋_GB2312" w:cs="仿宋_GB2312"/>
          <w:iCs/>
          <w:color w:val="auto"/>
          <w:sz w:val="32"/>
          <w:szCs w:val="32"/>
          <w:highlight w:val="none"/>
        </w:rPr>
        <w:t>3.资金投入情况分析</w:t>
      </w:r>
      <w:bookmarkEnd w:id="103"/>
      <w:bookmarkEnd w:id="104"/>
      <w:bookmarkEnd w:id="105"/>
    </w:p>
    <w:p>
      <w:pPr>
        <w:adjustRightInd w:val="0"/>
        <w:snapToGrid w:val="0"/>
        <w:spacing w:line="360" w:lineRule="auto"/>
        <w:ind w:firstLine="640" w:firstLineChars="200"/>
        <w:rPr>
          <w:rFonts w:hint="default" w:ascii="仿宋_GB2312" w:hAnsi="Calibri" w:eastAsia="仿宋_GB2312"/>
          <w:color w:val="auto"/>
          <w:sz w:val="32"/>
          <w:szCs w:val="32"/>
          <w:highlight w:val="none"/>
          <w:lang w:val="en-US" w:eastAsia="zh-CN"/>
        </w:rPr>
      </w:pPr>
      <w:r>
        <w:rPr>
          <w:rFonts w:hint="eastAsia" w:ascii="仿宋_GB2312" w:hAnsi="仿宋_GB2312" w:cs="仿宋_GB2312"/>
          <w:iCs/>
          <w:color w:val="auto"/>
          <w:sz w:val="32"/>
          <w:szCs w:val="32"/>
          <w:highlight w:val="none"/>
        </w:rPr>
        <w:t>202</w:t>
      </w:r>
      <w:r>
        <w:rPr>
          <w:rFonts w:hint="eastAsia" w:ascii="仿宋_GB2312" w:hAnsi="仿宋_GB2312" w:cs="仿宋_GB2312"/>
          <w:iCs/>
          <w:color w:val="auto"/>
          <w:sz w:val="32"/>
          <w:szCs w:val="32"/>
          <w:highlight w:val="none"/>
          <w:lang w:val="en-US" w:eastAsia="zh-CN"/>
        </w:rPr>
        <w:t>2</w:t>
      </w:r>
      <w:r>
        <w:rPr>
          <w:rFonts w:hint="eastAsia" w:ascii="仿宋_GB2312" w:hAnsi="仿宋_GB2312" w:cs="仿宋_GB2312"/>
          <w:iCs/>
          <w:color w:val="auto"/>
          <w:sz w:val="32"/>
          <w:szCs w:val="32"/>
          <w:highlight w:val="none"/>
        </w:rPr>
        <w:t>年1</w:t>
      </w:r>
      <w:r>
        <w:rPr>
          <w:rFonts w:hint="eastAsia" w:ascii="仿宋_GB2312" w:hAnsi="仿宋_GB2312" w:cs="仿宋_GB2312"/>
          <w:iCs/>
          <w:color w:val="auto"/>
          <w:sz w:val="32"/>
          <w:szCs w:val="32"/>
          <w:highlight w:val="none"/>
          <w:lang w:eastAsia="zh-CN"/>
        </w:rPr>
        <w:t>0</w:t>
      </w:r>
      <w:r>
        <w:rPr>
          <w:rFonts w:hint="eastAsia" w:ascii="仿宋_GB2312" w:hAnsi="仿宋_GB2312" w:cs="仿宋_GB2312"/>
          <w:iCs/>
          <w:color w:val="auto"/>
          <w:sz w:val="32"/>
          <w:szCs w:val="32"/>
          <w:highlight w:val="none"/>
        </w:rPr>
        <w:t>月</w:t>
      </w:r>
      <w:r>
        <w:rPr>
          <w:rFonts w:hint="eastAsia" w:ascii="仿宋_GB2312" w:hAnsi="仿宋_GB2312" w:cs="仿宋_GB2312"/>
          <w:iCs/>
          <w:color w:val="auto"/>
          <w:sz w:val="32"/>
          <w:szCs w:val="32"/>
          <w:highlight w:val="none"/>
          <w:lang w:eastAsia="zh-CN"/>
        </w:rPr>
        <w:t>1</w:t>
      </w:r>
      <w:r>
        <w:rPr>
          <w:rFonts w:hint="eastAsia" w:ascii="仿宋_GB2312" w:hAnsi="仿宋_GB2312" w:cs="仿宋_GB2312"/>
          <w:iCs/>
          <w:color w:val="auto"/>
          <w:sz w:val="32"/>
          <w:szCs w:val="32"/>
          <w:highlight w:val="none"/>
          <w:lang w:val="en-US" w:eastAsia="zh-CN"/>
        </w:rPr>
        <w:t>8</w:t>
      </w:r>
      <w:r>
        <w:rPr>
          <w:rFonts w:hint="eastAsia" w:ascii="仿宋_GB2312" w:hAnsi="仿宋_GB2312" w:cs="仿宋_GB2312"/>
          <w:iCs/>
          <w:color w:val="auto"/>
          <w:sz w:val="32"/>
          <w:szCs w:val="32"/>
          <w:highlight w:val="none"/>
        </w:rPr>
        <w:t>日，市经信局</w:t>
      </w:r>
      <w:r>
        <w:rPr>
          <w:rFonts w:hint="eastAsia" w:ascii="仿宋_GB2312" w:hAnsi="仿宋_GB2312" w:cs="仿宋_GB2312"/>
          <w:color w:val="auto"/>
          <w:sz w:val="32"/>
          <w:szCs w:val="32"/>
          <w:highlight w:val="none"/>
        </w:rPr>
        <w:t>无线电频率台站处、无线电监督检查处、无线电安全保障处、无线电监测站</w:t>
      </w:r>
      <w:r>
        <w:rPr>
          <w:rFonts w:hint="eastAsia" w:ascii="仿宋_GB2312" w:hAnsi="仿宋_GB2312" w:cs="仿宋_GB2312"/>
          <w:color w:val="auto"/>
          <w:sz w:val="32"/>
          <w:szCs w:val="32"/>
          <w:highlight w:val="none"/>
          <w:lang w:val="en-US" w:eastAsia="zh-CN"/>
        </w:rPr>
        <w:t>召开</w:t>
      </w:r>
      <w:r>
        <w:rPr>
          <w:rFonts w:hint="eastAsia" w:ascii="仿宋_GB2312" w:hAnsi="仿宋_GB2312" w:cs="仿宋_GB2312"/>
          <w:iCs/>
          <w:color w:val="auto"/>
          <w:sz w:val="32"/>
          <w:szCs w:val="32"/>
          <w:highlight w:val="none"/>
        </w:rPr>
        <w:t>无线电管理经费使用协调会</w:t>
      </w:r>
      <w:r>
        <w:rPr>
          <w:rFonts w:hint="eastAsia" w:ascii="仿宋_GB2312" w:hAnsi="仿宋_GB2312" w:cs="仿宋_GB2312"/>
          <w:iCs/>
          <w:color w:val="auto"/>
          <w:sz w:val="32"/>
          <w:szCs w:val="32"/>
          <w:highlight w:val="none"/>
          <w:lang w:eastAsia="zh-CN"/>
        </w:rPr>
        <w:t>，</w:t>
      </w:r>
      <w:r>
        <w:rPr>
          <w:rFonts w:hint="eastAsia" w:ascii="仿宋_GB2312" w:hAnsi="仿宋_GB2312" w:cs="仿宋_GB2312"/>
          <w:color w:val="auto"/>
          <w:sz w:val="32"/>
          <w:szCs w:val="32"/>
          <w:highlight w:val="none"/>
        </w:rPr>
        <w:t>研究</w:t>
      </w:r>
      <w:r>
        <w:rPr>
          <w:rFonts w:hint="eastAsia" w:ascii="仿宋_GB2312" w:hAnsi="Calibri"/>
          <w:color w:val="auto"/>
          <w:sz w:val="32"/>
          <w:szCs w:val="32"/>
          <w:highlight w:val="none"/>
        </w:rPr>
        <w:t>202</w:t>
      </w:r>
      <w:r>
        <w:rPr>
          <w:rFonts w:hint="eastAsia" w:ascii="仿宋_GB2312"/>
          <w:color w:val="auto"/>
          <w:sz w:val="32"/>
          <w:szCs w:val="32"/>
          <w:highlight w:val="none"/>
          <w:lang w:val="en-US" w:eastAsia="zh-CN"/>
        </w:rPr>
        <w:t>3</w:t>
      </w:r>
      <w:r>
        <w:rPr>
          <w:rFonts w:hint="eastAsia" w:ascii="仿宋_GB2312" w:hAnsi="Calibri"/>
          <w:color w:val="auto"/>
          <w:sz w:val="32"/>
          <w:szCs w:val="32"/>
          <w:highlight w:val="none"/>
        </w:rPr>
        <w:t>年度无线电</w:t>
      </w:r>
      <w:r>
        <w:rPr>
          <w:rFonts w:hint="eastAsia" w:ascii="仿宋_GB2312" w:hAnsi="Calibri"/>
          <w:color w:val="auto"/>
          <w:sz w:val="32"/>
          <w:szCs w:val="32"/>
          <w:highlight w:val="none"/>
          <w:lang w:val="en-US" w:eastAsia="zh-CN"/>
        </w:rPr>
        <w:t>管理经费</w:t>
      </w:r>
      <w:r>
        <w:rPr>
          <w:rFonts w:hint="eastAsia" w:ascii="仿宋_GB2312" w:hAnsi="Calibri"/>
          <w:color w:val="auto"/>
          <w:sz w:val="32"/>
          <w:szCs w:val="32"/>
          <w:highlight w:val="none"/>
        </w:rPr>
        <w:t>资金</w:t>
      </w:r>
      <w:r>
        <w:rPr>
          <w:rFonts w:hint="eastAsia" w:ascii="仿宋_GB2312"/>
          <w:color w:val="auto"/>
          <w:sz w:val="32"/>
          <w:szCs w:val="32"/>
          <w:highlight w:val="none"/>
        </w:rPr>
        <w:t>申请、分配方案，充分讨论研究审核批复意见</w:t>
      </w:r>
      <w:r>
        <w:rPr>
          <w:rFonts w:hint="eastAsia" w:ascii="仿宋_GB2312" w:hAnsi="Calibri"/>
          <w:color w:val="auto"/>
          <w:sz w:val="32"/>
          <w:szCs w:val="32"/>
          <w:highlight w:val="none"/>
        </w:rPr>
        <w:t>，形成</w:t>
      </w:r>
      <w:r>
        <w:rPr>
          <w:rFonts w:hint="eastAsia" w:ascii="仿宋_GB2312" w:hAnsi="Calibri"/>
          <w:color w:val="auto"/>
          <w:sz w:val="32"/>
          <w:szCs w:val="32"/>
          <w:highlight w:val="none"/>
          <w:lang w:eastAsia="zh-CN"/>
        </w:rPr>
        <w:t>《</w:t>
      </w:r>
      <w:r>
        <w:rPr>
          <w:rFonts w:hint="eastAsia" w:ascii="仿宋_GB2312" w:hAnsi="Calibri"/>
          <w:color w:val="auto"/>
          <w:sz w:val="32"/>
          <w:szCs w:val="32"/>
          <w:highlight w:val="none"/>
          <w:lang w:val="en-US" w:eastAsia="zh-CN"/>
        </w:rPr>
        <w:t>2023年北京市无线电管理经费分配计划汇总表》</w:t>
      </w:r>
      <w:r>
        <w:rPr>
          <w:rFonts w:hint="eastAsia" w:ascii="仿宋_GB2312" w:hAnsi="Calibri"/>
          <w:color w:val="auto"/>
          <w:sz w:val="32"/>
          <w:szCs w:val="32"/>
          <w:highlight w:val="none"/>
        </w:rPr>
        <w:t>，</w:t>
      </w:r>
      <w:r>
        <w:rPr>
          <w:rFonts w:hint="eastAsia" w:ascii="仿宋_GB2312" w:hAnsi="Calibri"/>
          <w:color w:val="auto"/>
          <w:sz w:val="32"/>
          <w:szCs w:val="32"/>
          <w:highlight w:val="none"/>
          <w:lang w:eastAsia="zh"/>
        </w:rPr>
        <w:t>相关过程记录齐全</w:t>
      </w:r>
      <w:r>
        <w:rPr>
          <w:rFonts w:hint="eastAsia" w:ascii="仿宋_GB2312" w:hAnsi="Calibri"/>
          <w:color w:val="auto"/>
          <w:sz w:val="32"/>
          <w:szCs w:val="32"/>
          <w:highlight w:val="none"/>
        </w:rPr>
        <w:t>，</w:t>
      </w:r>
      <w:r>
        <w:rPr>
          <w:rFonts w:hint="eastAsia" w:ascii="仿宋_GB2312" w:hAnsi="Calibri"/>
          <w:color w:val="auto"/>
          <w:sz w:val="32"/>
          <w:szCs w:val="32"/>
          <w:highlight w:val="none"/>
          <w:lang w:val="en-US" w:eastAsia="zh-CN"/>
        </w:rPr>
        <w:t>资金分配程序完整。但个别项目预算编制还不够细化，一定程度影响了资金分配结果的合理性，如频谱资源动态分析与决策支撑项目申报监理费为12万元，其预算测算依据及说明为“</w:t>
      </w:r>
      <w:r>
        <w:rPr>
          <w:rFonts w:hint="eastAsia" w:ascii="仿宋_GB2312" w:hAnsi="Calibri"/>
          <w:color w:val="auto"/>
          <w:sz w:val="32"/>
          <w:szCs w:val="32"/>
          <w:highlight w:val="none"/>
          <w:lang w:val="en-US" w:eastAsia="zh"/>
        </w:rPr>
        <w:t>含施工设计、方案设计、监理、决算审计、项目管理费等</w:t>
      </w:r>
      <w:r>
        <w:rPr>
          <w:rFonts w:hint="eastAsia" w:ascii="仿宋_GB2312" w:hAnsi="Calibri"/>
          <w:color w:val="auto"/>
          <w:sz w:val="32"/>
          <w:szCs w:val="32"/>
          <w:highlight w:val="none"/>
          <w:lang w:val="en-US" w:eastAsia="zh-CN"/>
        </w:rPr>
        <w:t>”，缺少包含实施监理所需的人工价格和所需时长等测算过程；又如</w:t>
      </w:r>
      <w:r>
        <w:rPr>
          <w:rFonts w:hint="eastAsia" w:ascii="仿宋_GB2312" w:hAnsi="Calibri"/>
          <w:color w:val="auto"/>
          <w:sz w:val="32"/>
          <w:szCs w:val="32"/>
          <w:highlight w:val="none"/>
          <w:lang w:val="en-US" w:eastAsia="zh"/>
        </w:rPr>
        <w:t>监测网设施设备维修维护费项目</w:t>
      </w:r>
      <w:r>
        <w:rPr>
          <w:rFonts w:hint="eastAsia" w:ascii="仿宋_GB2312" w:hAnsi="Calibri"/>
          <w:color w:val="auto"/>
          <w:sz w:val="32"/>
          <w:szCs w:val="32"/>
          <w:highlight w:val="none"/>
          <w:lang w:val="en-US" w:eastAsia="zh-CN"/>
        </w:rPr>
        <w:t>申报预算为128.9万元（截至2023年底，当年项目资金未支出），未能充分结合项目上年结转资金和年度所需经费规模合理编制项目预算，影响了资金分配结果合理性。</w:t>
      </w:r>
    </w:p>
    <w:p>
      <w:pPr>
        <w:pStyle w:val="3"/>
        <w:keepNext w:val="0"/>
        <w:keepLines w:val="0"/>
        <w:adjustRightInd w:val="0"/>
        <w:snapToGrid w:val="0"/>
        <w:spacing w:before="0" w:after="0" w:line="360" w:lineRule="auto"/>
        <w:ind w:firstLine="640" w:firstLineChars="200"/>
        <w:rPr>
          <w:rFonts w:ascii="楷体_GB2312" w:hAnsi="等线" w:eastAsia="楷体_GB2312" w:cs="Times New Roman"/>
          <w:b w:val="0"/>
          <w:bCs w:val="0"/>
          <w:color w:val="auto"/>
          <w:highlight w:val="none"/>
        </w:rPr>
      </w:pPr>
      <w:bookmarkStart w:id="106" w:name="_Toc19186"/>
      <w:bookmarkStart w:id="107" w:name="_Toc28240"/>
      <w:bookmarkStart w:id="108" w:name="_Toc21992"/>
      <w:bookmarkStart w:id="109" w:name="_Toc21891"/>
      <w:r>
        <w:rPr>
          <w:rFonts w:hint="eastAsia" w:ascii="楷体_GB2312" w:hAnsi="等线" w:eastAsia="楷体_GB2312" w:cs="Times New Roman"/>
          <w:b w:val="0"/>
          <w:bCs w:val="0"/>
          <w:color w:val="auto"/>
          <w:highlight w:val="none"/>
        </w:rPr>
        <w:t>（二）过程情况分析</w:t>
      </w:r>
      <w:bookmarkEnd w:id="106"/>
      <w:bookmarkEnd w:id="107"/>
      <w:bookmarkEnd w:id="108"/>
      <w:bookmarkEnd w:id="109"/>
    </w:p>
    <w:p>
      <w:pPr>
        <w:adjustRightInd w:val="0"/>
        <w:snapToGrid w:val="0"/>
        <w:spacing w:line="360" w:lineRule="auto"/>
        <w:ind w:firstLine="640" w:firstLineChars="200"/>
        <w:rPr>
          <w:rFonts w:ascii="仿宋_GB2312" w:hAnsi="仿宋"/>
          <w:color w:val="auto"/>
          <w:sz w:val="32"/>
          <w:szCs w:val="32"/>
          <w:highlight w:val="none"/>
        </w:rPr>
      </w:pPr>
      <w:r>
        <w:rPr>
          <w:rFonts w:hint="eastAsia" w:ascii="仿宋_GB2312" w:hAnsi="仿宋_GB2312" w:cs="仿宋_GB2312"/>
          <w:color w:val="auto"/>
          <w:sz w:val="32"/>
          <w:szCs w:val="32"/>
          <w:highlight w:val="none"/>
        </w:rPr>
        <w:t>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年项目批复预算17945.74万元，资金及时足额到位，资金使用合规，结转结余变动率</w:t>
      </w:r>
      <w:r>
        <w:rPr>
          <w:rFonts w:ascii="仿宋_GB2312" w:hAnsi="仿宋_GB2312" w:cs="仿宋_GB2312"/>
          <w:color w:val="auto"/>
          <w:sz w:val="32"/>
          <w:szCs w:val="32"/>
          <w:highlight w:val="none"/>
        </w:rPr>
        <w:t>9</w:t>
      </w:r>
      <w:r>
        <w:rPr>
          <w:rFonts w:hint="eastAsia" w:ascii="仿宋_GB2312" w:hAnsi="仿宋_GB2312" w:cs="仿宋_GB2312"/>
          <w:color w:val="auto"/>
          <w:sz w:val="32"/>
          <w:szCs w:val="32"/>
          <w:highlight w:val="none"/>
          <w:lang w:val="en-US" w:eastAsia="zh-CN"/>
        </w:rPr>
        <w:t>7.06</w:t>
      </w:r>
      <w:r>
        <w:rPr>
          <w:rFonts w:ascii="仿宋_GB2312" w:hAnsi="仿宋_GB2312" w:cs="仿宋_GB2312"/>
          <w:color w:val="auto"/>
          <w:sz w:val="32"/>
          <w:szCs w:val="32"/>
          <w:highlight w:val="none"/>
        </w:rPr>
        <w:t>%</w:t>
      </w:r>
      <w:r>
        <w:rPr>
          <w:rFonts w:hint="eastAsia" w:ascii="仿宋_GB2312" w:hAnsi="仿宋_GB2312" w:cs="仿宋_GB2312"/>
          <w:color w:val="auto"/>
          <w:sz w:val="32"/>
          <w:szCs w:val="32"/>
          <w:highlight w:val="none"/>
        </w:rPr>
        <w:t>；项目管理</w:t>
      </w:r>
      <w:r>
        <w:rPr>
          <w:rFonts w:ascii="仿宋_GB2312" w:hAnsi="仿宋_GB2312" w:cs="仿宋_GB2312"/>
          <w:color w:val="auto"/>
          <w:sz w:val="32"/>
          <w:szCs w:val="32"/>
          <w:highlight w:val="none"/>
        </w:rPr>
        <w:t>制度健全</w:t>
      </w:r>
      <w:r>
        <w:rPr>
          <w:rFonts w:hint="eastAsia" w:ascii="仿宋_GB2312" w:hAnsi="仿宋_GB2312" w:cs="仿宋_GB2312"/>
          <w:color w:val="auto"/>
          <w:sz w:val="32"/>
          <w:szCs w:val="32"/>
          <w:highlight w:val="none"/>
        </w:rPr>
        <w:t>，年度内未调整预算，建设项目竣工验收后严格执行登记入库和备案手续，政府采购过程规范，严格落实项目相关管理制度。但还存在</w:t>
      </w:r>
      <w:r>
        <w:rPr>
          <w:rFonts w:hint="eastAsia" w:ascii="仿宋_GB2312" w:hAnsi="仿宋"/>
          <w:color w:val="auto"/>
          <w:sz w:val="32"/>
          <w:szCs w:val="32"/>
          <w:highlight w:val="none"/>
        </w:rPr>
        <w:t>资金执行率偏低、</w:t>
      </w:r>
      <w:r>
        <w:rPr>
          <w:rFonts w:hint="eastAsia" w:ascii="仿宋_GB2312" w:hAnsi="仿宋"/>
          <w:color w:val="auto"/>
          <w:sz w:val="32"/>
          <w:szCs w:val="32"/>
          <w:highlight w:val="none"/>
          <w:lang w:eastAsia="zh"/>
        </w:rPr>
        <w:t>财务报销列支科目不够规范</w:t>
      </w:r>
      <w:r>
        <w:rPr>
          <w:rFonts w:hint="eastAsia" w:ascii="仿宋_GB2312" w:hAnsi="仿宋"/>
          <w:color w:val="auto"/>
          <w:sz w:val="32"/>
          <w:szCs w:val="32"/>
          <w:highlight w:val="none"/>
          <w:lang w:val="en-US" w:eastAsia="zh-CN"/>
        </w:rPr>
        <w:t>、</w:t>
      </w:r>
      <w:r>
        <w:rPr>
          <w:rFonts w:hint="eastAsia" w:ascii="仿宋_GB2312" w:hAnsi="仿宋"/>
          <w:color w:val="auto"/>
          <w:sz w:val="32"/>
          <w:szCs w:val="32"/>
          <w:highlight w:val="none"/>
          <w:lang w:val="en-US" w:eastAsia="zh"/>
        </w:rPr>
        <w:t>个别项目</w:t>
      </w:r>
      <w:r>
        <w:rPr>
          <w:rFonts w:hint="eastAsia" w:ascii="仿宋_GB2312" w:hAnsi="仿宋"/>
          <w:color w:val="auto"/>
          <w:sz w:val="32"/>
          <w:szCs w:val="32"/>
          <w:highlight w:val="none"/>
          <w:lang w:val="en-US" w:eastAsia="zh-CN"/>
        </w:rPr>
        <w:t>监理</w:t>
      </w:r>
      <w:r>
        <w:rPr>
          <w:rFonts w:hint="eastAsia" w:ascii="仿宋_GB2312" w:hAnsi="仿宋"/>
          <w:color w:val="auto"/>
          <w:sz w:val="32"/>
          <w:szCs w:val="32"/>
          <w:highlight w:val="none"/>
          <w:lang w:val="en-US" w:eastAsia="zh"/>
        </w:rPr>
        <w:t>合同签订</w:t>
      </w:r>
      <w:r>
        <w:rPr>
          <w:rFonts w:hint="eastAsia" w:ascii="仿宋_GB2312" w:hAnsi="仿宋"/>
          <w:color w:val="auto"/>
          <w:sz w:val="32"/>
          <w:szCs w:val="32"/>
          <w:highlight w:val="none"/>
          <w:lang w:val="en-US" w:eastAsia="zh-CN"/>
        </w:rPr>
        <w:t>较早</w:t>
      </w:r>
      <w:r>
        <w:rPr>
          <w:rFonts w:hint="eastAsia" w:ascii="仿宋_GB2312" w:hAnsi="仿宋"/>
          <w:color w:val="auto"/>
          <w:sz w:val="32"/>
          <w:szCs w:val="32"/>
          <w:highlight w:val="none"/>
          <w:lang w:val="en-US" w:eastAsia="zh"/>
        </w:rPr>
        <w:t>存在一定履约风险</w:t>
      </w:r>
      <w:r>
        <w:rPr>
          <w:rFonts w:hint="eastAsia" w:ascii="仿宋_GB2312" w:hAnsi="仿宋"/>
          <w:color w:val="auto"/>
          <w:sz w:val="32"/>
          <w:szCs w:val="32"/>
          <w:highlight w:val="none"/>
          <w:lang w:val="en-US" w:eastAsia="zh-CN"/>
        </w:rPr>
        <w:t>等问题</w:t>
      </w:r>
      <w:r>
        <w:rPr>
          <w:rFonts w:hint="eastAsia" w:ascii="仿宋_GB2312" w:hAnsi="仿宋"/>
          <w:color w:val="auto"/>
          <w:sz w:val="32"/>
          <w:szCs w:val="32"/>
          <w:highlight w:val="none"/>
          <w:lang w:val="en-US" w:eastAsia="zh"/>
        </w:rPr>
        <w:t>。</w:t>
      </w:r>
      <w:r>
        <w:rPr>
          <w:rFonts w:hint="eastAsia" w:ascii="仿宋_GB2312" w:hAnsi="仿宋"/>
          <w:color w:val="auto"/>
          <w:sz w:val="32"/>
          <w:szCs w:val="32"/>
          <w:highlight w:val="none"/>
        </w:rPr>
        <w:t>该指标分值24分，得分</w:t>
      </w:r>
      <w:r>
        <w:rPr>
          <w:rFonts w:hint="eastAsia" w:ascii="仿宋_GB2312" w:hAnsi="仿宋"/>
          <w:color w:val="auto"/>
          <w:sz w:val="32"/>
          <w:szCs w:val="32"/>
          <w:highlight w:val="none"/>
          <w:lang w:eastAsia="zh-CN"/>
        </w:rPr>
        <w:t>1</w:t>
      </w:r>
      <w:r>
        <w:rPr>
          <w:rFonts w:hint="eastAsia" w:ascii="仿宋_GB2312" w:hAnsi="仿宋"/>
          <w:color w:val="auto"/>
          <w:sz w:val="32"/>
          <w:szCs w:val="32"/>
          <w:highlight w:val="none"/>
          <w:lang w:val="en-US" w:eastAsia="zh-CN"/>
        </w:rPr>
        <w:t>9.16</w:t>
      </w:r>
      <w:r>
        <w:rPr>
          <w:rFonts w:hint="eastAsia" w:ascii="仿宋_GB2312" w:hAnsi="仿宋"/>
          <w:color w:val="auto"/>
          <w:sz w:val="32"/>
          <w:szCs w:val="32"/>
          <w:highlight w:val="none"/>
        </w:rPr>
        <w:t>分，得分率</w:t>
      </w:r>
      <w:r>
        <w:rPr>
          <w:rFonts w:hint="eastAsia" w:ascii="仿宋_GB2312" w:hAnsi="仿宋"/>
          <w:color w:val="auto"/>
          <w:sz w:val="32"/>
          <w:szCs w:val="32"/>
          <w:highlight w:val="none"/>
          <w:lang w:eastAsia="zh-CN"/>
        </w:rPr>
        <w:t>7</w:t>
      </w:r>
      <w:r>
        <w:rPr>
          <w:rFonts w:hint="eastAsia" w:ascii="仿宋_GB2312" w:hAnsi="仿宋"/>
          <w:color w:val="auto"/>
          <w:sz w:val="32"/>
          <w:szCs w:val="32"/>
          <w:highlight w:val="none"/>
          <w:lang w:val="en-US" w:eastAsia="zh-CN"/>
        </w:rPr>
        <w:t>9.83</w:t>
      </w:r>
      <w:r>
        <w:rPr>
          <w:rFonts w:hint="eastAsia" w:ascii="仿宋_GB2312" w:hAnsi="仿宋"/>
          <w:color w:val="auto"/>
          <w:sz w:val="32"/>
          <w:szCs w:val="32"/>
          <w:highlight w:val="none"/>
        </w:rPr>
        <w:t>%。评分见表</w:t>
      </w:r>
      <w:r>
        <w:rPr>
          <w:rFonts w:hint="eastAsia" w:ascii="仿宋_GB2312" w:hAnsi="仿宋"/>
          <w:color w:val="auto"/>
          <w:sz w:val="32"/>
          <w:szCs w:val="32"/>
          <w:highlight w:val="none"/>
          <w:lang w:val="en-US" w:eastAsia="zh-CN"/>
        </w:rPr>
        <w:t>8</w:t>
      </w:r>
      <w:r>
        <w:rPr>
          <w:rFonts w:hint="eastAsia" w:ascii="仿宋_GB2312" w:hAnsi="仿宋"/>
          <w:color w:val="auto"/>
          <w:sz w:val="32"/>
          <w:szCs w:val="32"/>
          <w:highlight w:val="none"/>
        </w:rPr>
        <w:t>。</w:t>
      </w:r>
    </w:p>
    <w:p>
      <w:pPr>
        <w:adjustRightInd w:val="0"/>
        <w:snapToGrid w:val="0"/>
        <w:spacing w:line="360" w:lineRule="auto"/>
        <w:jc w:val="center"/>
        <w:rPr>
          <w:rFonts w:ascii="黑体" w:eastAsia="黑体"/>
          <w:color w:val="auto"/>
          <w:sz w:val="28"/>
          <w:szCs w:val="28"/>
          <w:highlight w:val="none"/>
        </w:rPr>
      </w:pPr>
      <w:r>
        <w:rPr>
          <w:rFonts w:hint="eastAsia" w:ascii="黑体" w:hAnsi="黑体" w:eastAsia="黑体"/>
          <w:color w:val="auto"/>
          <w:sz w:val="28"/>
          <w:szCs w:val="28"/>
          <w:highlight w:val="none"/>
        </w:rPr>
        <w:t>表</w:t>
      </w:r>
      <w:r>
        <w:rPr>
          <w:rFonts w:hint="eastAsia" w:ascii="黑体" w:hAnsi="黑体" w:eastAsia="黑体"/>
          <w:color w:val="auto"/>
          <w:sz w:val="28"/>
          <w:szCs w:val="28"/>
          <w:highlight w:val="none"/>
          <w:lang w:val="en-US" w:eastAsia="zh-CN"/>
        </w:rPr>
        <w:t>8</w:t>
      </w:r>
      <w:r>
        <w:rPr>
          <w:rFonts w:hint="eastAsia" w:ascii="黑体" w:eastAsia="黑体"/>
          <w:color w:val="auto"/>
          <w:sz w:val="28"/>
          <w:szCs w:val="28"/>
          <w:highlight w:val="none"/>
        </w:rPr>
        <w:t>：过程指标设定及评分情况表</w:t>
      </w:r>
    </w:p>
    <w:tbl>
      <w:tblPr>
        <w:tblStyle w:val="16"/>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9"/>
        <w:gridCol w:w="1908"/>
        <w:gridCol w:w="2540"/>
        <w:gridCol w:w="1480"/>
        <w:gridCol w:w="15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8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一级指标</w:t>
            </w:r>
          </w:p>
        </w:tc>
        <w:tc>
          <w:tcPr>
            <w:tcW w:w="1053"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二级指标</w:t>
            </w:r>
          </w:p>
        </w:tc>
        <w:tc>
          <w:tcPr>
            <w:tcW w:w="1402"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三级指标</w:t>
            </w:r>
          </w:p>
        </w:tc>
        <w:tc>
          <w:tcPr>
            <w:tcW w:w="817"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分值</w:t>
            </w:r>
          </w:p>
        </w:tc>
        <w:tc>
          <w:tcPr>
            <w:tcW w:w="87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55" w:type="pct"/>
            <w:vMerge w:val="restart"/>
            <w:tcBorders>
              <w:top w:val="single" w:color="auto" w:sz="4" w:space="0"/>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过程</w:t>
            </w:r>
          </w:p>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（24分）</w:t>
            </w:r>
          </w:p>
        </w:tc>
        <w:tc>
          <w:tcPr>
            <w:tcW w:w="1053" w:type="pct"/>
            <w:vMerge w:val="restart"/>
            <w:tcBorders>
              <w:top w:val="single" w:color="auto" w:sz="4" w:space="0"/>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资金管理</w:t>
            </w:r>
          </w:p>
        </w:tc>
        <w:tc>
          <w:tcPr>
            <w:tcW w:w="1402"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资金到位率</w:t>
            </w:r>
          </w:p>
        </w:tc>
        <w:tc>
          <w:tcPr>
            <w:tcW w:w="1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1</w:t>
            </w:r>
          </w:p>
        </w:tc>
        <w:tc>
          <w:tcPr>
            <w:tcW w:w="1578"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5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053"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402"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资金到位及时性</w:t>
            </w:r>
          </w:p>
        </w:tc>
        <w:tc>
          <w:tcPr>
            <w:tcW w:w="1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1</w:t>
            </w:r>
          </w:p>
        </w:tc>
        <w:tc>
          <w:tcPr>
            <w:tcW w:w="1578"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5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053"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402"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资金使用合规性</w:t>
            </w:r>
          </w:p>
        </w:tc>
        <w:tc>
          <w:tcPr>
            <w:tcW w:w="1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4</w:t>
            </w:r>
          </w:p>
        </w:tc>
        <w:tc>
          <w:tcPr>
            <w:tcW w:w="1578"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5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053"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402"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预算执行率</w:t>
            </w:r>
          </w:p>
        </w:tc>
        <w:tc>
          <w:tcPr>
            <w:tcW w:w="1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7</w:t>
            </w:r>
          </w:p>
        </w:tc>
        <w:tc>
          <w:tcPr>
            <w:tcW w:w="1578"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5.25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5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053"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402"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结转结余变动率</w:t>
            </w:r>
          </w:p>
        </w:tc>
        <w:tc>
          <w:tcPr>
            <w:tcW w:w="1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w:t>
            </w:r>
          </w:p>
        </w:tc>
        <w:tc>
          <w:tcPr>
            <w:tcW w:w="1578"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olor w:val="auto"/>
                <w:kern w:val="0"/>
                <w:sz w:val="20"/>
                <w:szCs w:val="20"/>
                <w:highlight w:val="none"/>
                <w:lang w:eastAsia="zh-CN"/>
              </w:rPr>
            </w:pPr>
            <w:r>
              <w:rPr>
                <w:rFonts w:hint="eastAsia" w:ascii="宋体" w:hAnsi="宋体" w:eastAsia="宋体" w:cs="宋体"/>
                <w:color w:val="auto"/>
                <w:kern w:val="0"/>
                <w:sz w:val="20"/>
                <w:szCs w:val="20"/>
                <w:highlight w:val="none"/>
                <w:lang w:bidi="ar"/>
              </w:rPr>
              <w:t>2.9</w:t>
            </w:r>
            <w:r>
              <w:rPr>
                <w:rFonts w:hint="eastAsia" w:ascii="宋体" w:hAnsi="宋体" w:eastAsia="宋体" w:cs="宋体"/>
                <w:color w:val="auto"/>
                <w:kern w:val="0"/>
                <w:sz w:val="20"/>
                <w:szCs w:val="20"/>
                <w:highlight w:val="none"/>
                <w:lang w:val="en-US" w:eastAsia="zh-CN" w:bidi="ar"/>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5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053" w:type="pct"/>
            <w:vMerge w:val="restart"/>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组织实施</w:t>
            </w:r>
          </w:p>
        </w:tc>
        <w:tc>
          <w:tcPr>
            <w:tcW w:w="1402"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管理制度健全性</w:t>
            </w:r>
          </w:p>
        </w:tc>
        <w:tc>
          <w:tcPr>
            <w:tcW w:w="1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w:t>
            </w:r>
          </w:p>
        </w:tc>
        <w:tc>
          <w:tcPr>
            <w:tcW w:w="1578"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55" w:type="pct"/>
            <w:vMerge w:val="continue"/>
            <w:tcBorders>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053" w:type="pct"/>
            <w:vMerge w:val="continue"/>
            <w:tcBorders>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402"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制度执行有效性</w:t>
            </w:r>
          </w:p>
        </w:tc>
        <w:tc>
          <w:tcPr>
            <w:tcW w:w="1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5</w:t>
            </w:r>
          </w:p>
        </w:tc>
        <w:tc>
          <w:tcPr>
            <w:tcW w:w="1578"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3.00</w:t>
            </w:r>
          </w:p>
        </w:tc>
      </w:tr>
    </w:tbl>
    <w:p>
      <w:pPr>
        <w:adjustRightInd w:val="0"/>
        <w:snapToGrid w:val="0"/>
        <w:spacing w:line="360" w:lineRule="auto"/>
        <w:ind w:firstLine="0" w:firstLineChars="0"/>
        <w:rPr>
          <w:rFonts w:ascii="仿宋_GB2312" w:hAnsi="仿宋_GB2312" w:cs="仿宋_GB2312"/>
          <w:color w:val="auto"/>
          <w:sz w:val="32"/>
          <w:szCs w:val="32"/>
          <w:highlight w:val="none"/>
        </w:rPr>
      </w:pP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10" w:name="_Toc2195"/>
      <w:bookmarkStart w:id="111" w:name="_Toc28261"/>
      <w:bookmarkStart w:id="112" w:name="_Toc23525"/>
      <w:r>
        <w:rPr>
          <w:rFonts w:hint="eastAsia" w:ascii="仿宋_GB2312" w:hAnsi="仿宋_GB2312" w:cs="仿宋_GB2312"/>
          <w:iCs/>
          <w:color w:val="auto"/>
          <w:sz w:val="32"/>
          <w:szCs w:val="32"/>
          <w:highlight w:val="none"/>
        </w:rPr>
        <w:t>1</w:t>
      </w:r>
      <w:r>
        <w:rPr>
          <w:rFonts w:ascii="仿宋_GB2312" w:hAnsi="仿宋_GB2312" w:cs="仿宋_GB2312"/>
          <w:iCs/>
          <w:color w:val="auto"/>
          <w:sz w:val="32"/>
          <w:szCs w:val="32"/>
          <w:highlight w:val="none"/>
        </w:rPr>
        <w:t>.</w:t>
      </w:r>
      <w:r>
        <w:rPr>
          <w:rFonts w:hint="eastAsia" w:ascii="仿宋_GB2312" w:hAnsi="仿宋_GB2312" w:cs="仿宋_GB2312"/>
          <w:iCs/>
          <w:color w:val="auto"/>
          <w:sz w:val="32"/>
          <w:szCs w:val="32"/>
          <w:highlight w:val="none"/>
        </w:rPr>
        <w:t>资金管理情况分析</w:t>
      </w:r>
      <w:bookmarkEnd w:id="110"/>
      <w:bookmarkEnd w:id="111"/>
      <w:bookmarkEnd w:id="112"/>
    </w:p>
    <w:p>
      <w:pPr>
        <w:adjustRightInd w:val="0"/>
        <w:snapToGrid w:val="0"/>
        <w:spacing w:line="360" w:lineRule="auto"/>
        <w:ind w:firstLine="643" w:firstLineChars="200"/>
        <w:rPr>
          <w:rFonts w:ascii="仿宋_GB2312"/>
          <w:color w:val="auto"/>
          <w:sz w:val="32"/>
          <w:szCs w:val="32"/>
          <w:highlight w:val="none"/>
        </w:rPr>
      </w:pPr>
      <w:r>
        <w:rPr>
          <w:rFonts w:hint="eastAsia" w:ascii="仿宋_GB2312"/>
          <w:b/>
          <w:bCs/>
          <w:color w:val="auto"/>
          <w:sz w:val="32"/>
          <w:szCs w:val="32"/>
          <w:highlight w:val="none"/>
        </w:rPr>
        <w:t>资金到位情况。</w:t>
      </w:r>
      <w:r>
        <w:rPr>
          <w:rFonts w:hint="eastAsia" w:ascii="仿宋_GB2312" w:hAnsi="仿宋_GB2312" w:cs="仿宋_GB2312"/>
          <w:color w:val="auto"/>
          <w:sz w:val="32"/>
          <w:szCs w:val="32"/>
          <w:highlight w:val="none"/>
        </w:rPr>
        <w:t>工信部办公厅于</w:t>
      </w:r>
      <w:r>
        <w:rPr>
          <w:rFonts w:hint="eastAsia" w:ascii="仿宋_GB2312" w:hAnsi="仿宋_GB2312" w:cs="仿宋_GB2312"/>
          <w:color w:val="auto"/>
          <w:sz w:val="32"/>
          <w:szCs w:val="32"/>
          <w:highlight w:val="none"/>
          <w:lang w:val="en-US" w:eastAsia="zh-CN"/>
        </w:rPr>
        <w:t>2022</w:t>
      </w:r>
      <w:r>
        <w:rPr>
          <w:rFonts w:hint="eastAsia" w:ascii="仿宋_GB2312" w:hAnsi="仿宋_GB2312" w:cs="仿宋_GB2312"/>
          <w:color w:val="auto"/>
          <w:sz w:val="32"/>
          <w:szCs w:val="32"/>
          <w:highlight w:val="none"/>
        </w:rPr>
        <w:t>年11月</w:t>
      </w:r>
      <w:r>
        <w:rPr>
          <w:rFonts w:hint="eastAsia" w:ascii="仿宋_GB2312" w:hAnsi="仿宋_GB2312" w:cs="仿宋_GB2312"/>
          <w:color w:val="auto"/>
          <w:sz w:val="32"/>
          <w:szCs w:val="32"/>
          <w:highlight w:val="none"/>
          <w:lang w:val="en-US" w:eastAsia="zh-CN"/>
        </w:rPr>
        <w:t>4</w:t>
      </w:r>
      <w:r>
        <w:rPr>
          <w:rFonts w:hint="eastAsia" w:ascii="仿宋_GB2312" w:hAnsi="仿宋_GB2312" w:cs="仿宋_GB2312"/>
          <w:color w:val="auto"/>
          <w:sz w:val="32"/>
          <w:szCs w:val="32"/>
          <w:highlight w:val="none"/>
        </w:rPr>
        <w:t>日发布</w:t>
      </w:r>
      <w:r>
        <w:rPr>
          <w:rFonts w:hint="eastAsia" w:ascii="仿宋_GB2312" w:hAnsi="仿宋_GB2312" w:cs="仿宋_GB2312"/>
          <w:iCs/>
          <w:color w:val="auto"/>
          <w:sz w:val="32"/>
          <w:szCs w:val="32"/>
          <w:highlight w:val="none"/>
        </w:rPr>
        <w:t>《工业和信息化部办公厅关于2023年无线电频率占用费转移支付资金使用计划业务审核意见相关事宜的函》（工信厅无函〔202</w:t>
      </w:r>
      <w:r>
        <w:rPr>
          <w:rFonts w:hint="eastAsia" w:ascii="仿宋_GB2312" w:hAnsi="仿宋_GB2312" w:cs="仿宋_GB2312"/>
          <w:iCs/>
          <w:color w:val="auto"/>
          <w:sz w:val="32"/>
          <w:szCs w:val="32"/>
          <w:highlight w:val="none"/>
          <w:lang w:val="en-US" w:eastAsia="zh-CN"/>
        </w:rPr>
        <w:t>2</w:t>
      </w:r>
      <w:r>
        <w:rPr>
          <w:rFonts w:hint="eastAsia" w:ascii="仿宋_GB2312" w:hAnsi="仿宋_GB2312" w:cs="仿宋_GB2312"/>
          <w:iCs/>
          <w:color w:val="auto"/>
          <w:sz w:val="32"/>
          <w:szCs w:val="32"/>
          <w:highlight w:val="none"/>
        </w:rPr>
        <w:t>〕2</w:t>
      </w:r>
      <w:r>
        <w:rPr>
          <w:rFonts w:hint="eastAsia" w:ascii="仿宋_GB2312" w:hAnsi="仿宋_GB2312" w:cs="仿宋_GB2312"/>
          <w:iCs/>
          <w:color w:val="auto"/>
          <w:sz w:val="32"/>
          <w:szCs w:val="32"/>
          <w:highlight w:val="none"/>
          <w:lang w:val="en-US" w:eastAsia="zh-CN"/>
        </w:rPr>
        <w:t>8</w:t>
      </w:r>
      <w:r>
        <w:rPr>
          <w:rFonts w:hint="eastAsia" w:ascii="仿宋_GB2312" w:hAnsi="仿宋_GB2312" w:cs="仿宋_GB2312"/>
          <w:iCs/>
          <w:color w:val="auto"/>
          <w:sz w:val="32"/>
          <w:szCs w:val="32"/>
          <w:highlight w:val="none"/>
        </w:rPr>
        <w:t>9号）</w:t>
      </w:r>
      <w:r>
        <w:rPr>
          <w:rFonts w:hint="eastAsia" w:ascii="仿宋_GB2312" w:hAnsi="仿宋_GB2312" w:cs="仿宋_GB2312"/>
          <w:color w:val="auto"/>
          <w:sz w:val="32"/>
          <w:szCs w:val="32"/>
          <w:highlight w:val="none"/>
        </w:rPr>
        <w:t>，文件要求各地参照审核意见及时向当地财政主管部门申请202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年经费预算。经市经信局申请，北京市财政局于202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w:t>
      </w:r>
      <w:r>
        <w:rPr>
          <w:rFonts w:hint="eastAsia" w:ascii="仿宋_GB2312" w:hAnsi="仿宋_GB2312" w:cs="仿宋_GB2312"/>
          <w:color w:val="auto"/>
          <w:sz w:val="32"/>
          <w:szCs w:val="32"/>
          <w:highlight w:val="none"/>
          <w:lang w:val="en-US" w:eastAsia="zh-CN"/>
        </w:rPr>
        <w:t>2</w:t>
      </w:r>
      <w:r>
        <w:rPr>
          <w:rFonts w:hint="eastAsia" w:ascii="仿宋_GB2312" w:hAnsi="仿宋_GB2312" w:cs="仿宋_GB2312"/>
          <w:color w:val="auto"/>
          <w:sz w:val="32"/>
          <w:szCs w:val="32"/>
          <w:highlight w:val="none"/>
        </w:rPr>
        <w:t>月</w:t>
      </w:r>
      <w:r>
        <w:rPr>
          <w:rFonts w:hint="eastAsia" w:ascii="仿宋_GB2312" w:hAnsi="仿宋_GB2312" w:cs="仿宋_GB2312"/>
          <w:color w:val="auto"/>
          <w:sz w:val="32"/>
          <w:szCs w:val="32"/>
          <w:highlight w:val="none"/>
          <w:lang w:val="en-US" w:eastAsia="zh-CN"/>
        </w:rPr>
        <w:t>7</w:t>
      </w:r>
      <w:r>
        <w:rPr>
          <w:rFonts w:hint="eastAsia" w:ascii="仿宋_GB2312" w:hAnsi="仿宋_GB2312" w:cs="仿宋_GB2312"/>
          <w:color w:val="auto"/>
          <w:sz w:val="32"/>
          <w:szCs w:val="32"/>
          <w:highlight w:val="none"/>
        </w:rPr>
        <w:t>日下达无线电</w:t>
      </w:r>
      <w:r>
        <w:rPr>
          <w:rFonts w:hint="eastAsia" w:ascii="仿宋_GB2312" w:hAnsi="仿宋_GB2312" w:cs="仿宋_GB2312"/>
          <w:color w:val="auto"/>
          <w:sz w:val="32"/>
          <w:szCs w:val="32"/>
          <w:highlight w:val="none"/>
          <w:lang w:val="en-US" w:eastAsia="zh-CN"/>
        </w:rPr>
        <w:t>管理经费</w:t>
      </w:r>
      <w:r>
        <w:rPr>
          <w:rFonts w:hint="eastAsia" w:ascii="仿宋_GB2312" w:hAnsi="仿宋_GB2312" w:cs="仿宋_GB2312"/>
          <w:color w:val="auto"/>
          <w:sz w:val="32"/>
          <w:szCs w:val="32"/>
          <w:highlight w:val="none"/>
        </w:rPr>
        <w:t>资金17945.74万元，其中当年预算12756万元，上年结转资金5189.74万元。预算资金到位率100%，资金及时足额到位。</w:t>
      </w:r>
    </w:p>
    <w:p>
      <w:pPr>
        <w:keepNext w:val="0"/>
        <w:keepLines w:val="0"/>
        <w:widowControl w:val="0"/>
        <w:suppressLineNumbers w:val="0"/>
        <w:adjustRightInd w:val="0"/>
        <w:snapToGrid w:val="0"/>
        <w:spacing w:before="0" w:beforeAutospacing="0" w:after="0" w:afterAutospacing="0" w:line="360" w:lineRule="auto"/>
        <w:ind w:left="0" w:right="0" w:firstLine="643" w:firstLineChars="200"/>
        <w:jc w:val="both"/>
        <w:rPr>
          <w:rFonts w:hint="default" w:ascii="仿宋_GB2312" w:eastAsia="仿宋_GB2312"/>
          <w:color w:val="auto"/>
          <w:sz w:val="32"/>
          <w:szCs w:val="32"/>
          <w:highlight w:val="none"/>
          <w:lang w:val="en-US" w:eastAsia="zh-CN"/>
        </w:rPr>
      </w:pPr>
      <w:r>
        <w:rPr>
          <w:rFonts w:hint="eastAsia" w:ascii="仿宋_GB2312"/>
          <w:b/>
          <w:bCs/>
          <w:color w:val="auto"/>
          <w:sz w:val="32"/>
          <w:szCs w:val="32"/>
          <w:highlight w:val="none"/>
        </w:rPr>
        <w:t>资金使用合规性方面。</w:t>
      </w:r>
      <w:r>
        <w:rPr>
          <w:rFonts w:hint="default" w:ascii="仿宋_GB2312" w:hAnsi="Times New Roman" w:eastAsia="仿宋_GB2312" w:cs="仿宋_GB2312"/>
          <w:color w:val="auto"/>
          <w:kern w:val="2"/>
          <w:sz w:val="32"/>
          <w:szCs w:val="32"/>
          <w:highlight w:val="none"/>
          <w:lang w:val="en-US" w:eastAsia="zh-CN" w:bidi="ar"/>
        </w:rPr>
        <w:t>项目执行过程中，市经信局按照有关资金管理制度执行，对预算资金进行实时监控，严格控制资金用途，切实加强对项目资金的使用管理。经专家抽凭，</w:t>
      </w:r>
      <w:r>
        <w:rPr>
          <w:rFonts w:hint="default" w:ascii="仿宋_GB2312" w:hAnsi="仿宋" w:eastAsia="仿宋_GB2312" w:cs="仿宋_GB2312"/>
          <w:color w:val="auto"/>
          <w:kern w:val="2"/>
          <w:sz w:val="32"/>
          <w:szCs w:val="32"/>
          <w:highlight w:val="none"/>
          <w:lang w:val="en-US" w:eastAsia="zh-CN" w:bidi="ar"/>
        </w:rPr>
        <w:t>项目财务数据真实、准确，</w:t>
      </w:r>
      <w:r>
        <w:rPr>
          <w:rFonts w:hint="default" w:ascii="仿宋_GB2312" w:hAnsi="Times New Roman" w:eastAsia="仿宋_GB2312" w:cs="仿宋_GB2312"/>
          <w:color w:val="auto"/>
          <w:kern w:val="2"/>
          <w:sz w:val="32"/>
          <w:szCs w:val="32"/>
          <w:highlight w:val="none"/>
          <w:lang w:val="en-US" w:eastAsia="zh-CN" w:bidi="ar"/>
        </w:rPr>
        <w:t>专款专用，未发现截留、挤占、挪用等情况。</w:t>
      </w:r>
      <w:r>
        <w:rPr>
          <w:rFonts w:hint="eastAsia" w:ascii="仿宋_GB2312" w:hAnsi="Times New Roman" w:eastAsia="仿宋_GB2312" w:cs="仿宋_GB2312"/>
          <w:color w:val="auto"/>
          <w:kern w:val="2"/>
          <w:sz w:val="32"/>
          <w:szCs w:val="32"/>
          <w:highlight w:val="none"/>
          <w:lang w:val="en-US" w:eastAsia="zh" w:bidi="ar"/>
        </w:rPr>
        <w:t>但还存在</w:t>
      </w:r>
      <w:r>
        <w:rPr>
          <w:rFonts w:hint="eastAsia" w:ascii="仿宋_GB2312" w:cs="仿宋_GB2312"/>
          <w:color w:val="auto"/>
          <w:kern w:val="2"/>
          <w:sz w:val="32"/>
          <w:szCs w:val="32"/>
          <w:highlight w:val="none"/>
          <w:lang w:val="en-US" w:eastAsia="zh-CN" w:bidi="ar"/>
        </w:rPr>
        <w:t>个别项目</w:t>
      </w:r>
      <w:r>
        <w:rPr>
          <w:rFonts w:hint="eastAsia" w:ascii="仿宋_GB2312"/>
          <w:color w:val="auto"/>
          <w:sz w:val="32"/>
          <w:szCs w:val="32"/>
          <w:highlight w:val="none"/>
          <w:lang w:val="en-US" w:eastAsia="zh-CN"/>
        </w:rPr>
        <w:t>财务核算不够规范，</w:t>
      </w:r>
      <w:r>
        <w:rPr>
          <w:rFonts w:hint="eastAsia" w:ascii="仿宋_GB2312"/>
          <w:color w:val="auto"/>
          <w:sz w:val="32"/>
          <w:szCs w:val="32"/>
          <w:highlight w:val="none"/>
          <w:lang w:val="en-US" w:eastAsia="zh"/>
        </w:rPr>
        <w:t>报销事项</w:t>
      </w:r>
      <w:r>
        <w:rPr>
          <w:rFonts w:hint="eastAsia" w:ascii="仿宋_GB2312"/>
          <w:color w:val="auto"/>
          <w:sz w:val="32"/>
          <w:szCs w:val="32"/>
          <w:highlight w:val="none"/>
          <w:lang w:val="en-US" w:eastAsia="zh-CN"/>
        </w:rPr>
        <w:t>列支</w:t>
      </w:r>
      <w:r>
        <w:rPr>
          <w:rFonts w:hint="eastAsia" w:ascii="仿宋_GB2312"/>
          <w:color w:val="auto"/>
          <w:sz w:val="32"/>
          <w:szCs w:val="32"/>
          <w:highlight w:val="none"/>
          <w:lang w:val="en-US" w:eastAsia="zh"/>
        </w:rPr>
        <w:t>的</w:t>
      </w:r>
      <w:r>
        <w:rPr>
          <w:rFonts w:hint="eastAsia" w:ascii="仿宋_GB2312"/>
          <w:color w:val="auto"/>
          <w:sz w:val="32"/>
          <w:szCs w:val="32"/>
          <w:highlight w:val="none"/>
          <w:lang w:val="en-US" w:eastAsia="zh-CN"/>
        </w:rPr>
        <w:t>财务科目不够严谨，如无线电监测站无线电干扰查处经费项目中列支</w:t>
      </w:r>
      <w:r>
        <w:rPr>
          <w:rFonts w:hint="eastAsia" w:ascii="仿宋_GB2312"/>
          <w:color w:val="auto"/>
          <w:sz w:val="32"/>
          <w:szCs w:val="32"/>
          <w:highlight w:val="none"/>
          <w:lang w:val="en-US" w:eastAsia="zh"/>
        </w:rPr>
        <w:t>了</w:t>
      </w:r>
      <w:r>
        <w:rPr>
          <w:rFonts w:hint="eastAsia" w:ascii="仿宋_GB2312"/>
          <w:color w:val="auto"/>
          <w:sz w:val="32"/>
          <w:szCs w:val="32"/>
          <w:highlight w:val="none"/>
          <w:lang w:val="en-US" w:eastAsia="zh-CN"/>
        </w:rPr>
        <w:t>“成都大运会”“赴山西观摩无线电比赛”等差旅费支出。</w:t>
      </w:r>
    </w:p>
    <w:p>
      <w:pPr>
        <w:adjustRightInd w:val="0"/>
        <w:snapToGrid w:val="0"/>
        <w:spacing w:line="360" w:lineRule="auto"/>
        <w:ind w:firstLine="643" w:firstLineChars="200"/>
        <w:rPr>
          <w:rFonts w:ascii="仿宋_GB2312"/>
          <w:color w:val="auto"/>
          <w:sz w:val="32"/>
          <w:szCs w:val="32"/>
          <w:highlight w:val="none"/>
        </w:rPr>
      </w:pPr>
      <w:r>
        <w:rPr>
          <w:rFonts w:hint="eastAsia" w:ascii="仿宋_GB2312"/>
          <w:b/>
          <w:bCs/>
          <w:color w:val="auto"/>
          <w:sz w:val="32"/>
          <w:szCs w:val="32"/>
          <w:highlight w:val="none"/>
        </w:rPr>
        <w:t>预算执行率方面。</w:t>
      </w:r>
      <w:r>
        <w:rPr>
          <w:rFonts w:hint="eastAsia" w:ascii="仿宋_GB2312"/>
          <w:color w:val="auto"/>
          <w:sz w:val="32"/>
          <w:szCs w:val="32"/>
          <w:highlight w:val="none"/>
        </w:rPr>
        <w:t>20</w:t>
      </w:r>
      <w:r>
        <w:rPr>
          <w:rFonts w:ascii="仿宋_GB2312"/>
          <w:color w:val="auto"/>
          <w:sz w:val="32"/>
          <w:szCs w:val="32"/>
          <w:highlight w:val="none"/>
        </w:rPr>
        <w:t>2</w:t>
      </w:r>
      <w:r>
        <w:rPr>
          <w:rFonts w:hint="eastAsia" w:ascii="仿宋_GB2312"/>
          <w:color w:val="auto"/>
          <w:sz w:val="32"/>
          <w:szCs w:val="32"/>
          <w:highlight w:val="none"/>
          <w:lang w:val="en-US" w:eastAsia="zh-CN"/>
        </w:rPr>
        <w:t>3</w:t>
      </w:r>
      <w:r>
        <w:rPr>
          <w:rFonts w:hint="eastAsia" w:ascii="仿宋_GB2312"/>
          <w:color w:val="auto"/>
          <w:sz w:val="32"/>
          <w:szCs w:val="32"/>
          <w:highlight w:val="none"/>
        </w:rPr>
        <w:t>年度</w:t>
      </w:r>
      <w:r>
        <w:rPr>
          <w:rFonts w:hint="eastAsia" w:ascii="仿宋_GB2312"/>
          <w:color w:val="auto"/>
          <w:sz w:val="32"/>
          <w:szCs w:val="32"/>
          <w:highlight w:val="none"/>
          <w:lang w:val="en-US" w:eastAsia="zh-CN"/>
        </w:rPr>
        <w:t>无线电管理经费</w:t>
      </w:r>
      <w:r>
        <w:rPr>
          <w:rFonts w:hint="eastAsia" w:ascii="仿宋_GB2312"/>
          <w:color w:val="auto"/>
          <w:sz w:val="32"/>
          <w:szCs w:val="32"/>
          <w:highlight w:val="none"/>
        </w:rPr>
        <w:t>资金1</w:t>
      </w:r>
      <w:r>
        <w:rPr>
          <w:rFonts w:hint="eastAsia" w:ascii="仿宋_GB2312"/>
          <w:color w:val="auto"/>
          <w:sz w:val="32"/>
          <w:szCs w:val="32"/>
          <w:highlight w:val="none"/>
          <w:lang w:val="en-US" w:eastAsia="zh-CN"/>
        </w:rPr>
        <w:t>2756</w:t>
      </w:r>
      <w:r>
        <w:rPr>
          <w:rFonts w:ascii="仿宋_GB2312"/>
          <w:color w:val="auto"/>
          <w:sz w:val="32"/>
          <w:szCs w:val="32"/>
          <w:highlight w:val="none"/>
        </w:rPr>
        <w:t>.00</w:t>
      </w:r>
      <w:r>
        <w:rPr>
          <w:rFonts w:hint="eastAsia" w:ascii="仿宋_GB2312"/>
          <w:color w:val="auto"/>
          <w:sz w:val="32"/>
          <w:szCs w:val="32"/>
          <w:highlight w:val="none"/>
        </w:rPr>
        <w:t>万元，截至20</w:t>
      </w:r>
      <w:r>
        <w:rPr>
          <w:rFonts w:ascii="仿宋_GB2312"/>
          <w:color w:val="auto"/>
          <w:sz w:val="32"/>
          <w:szCs w:val="32"/>
          <w:highlight w:val="none"/>
        </w:rPr>
        <w:t>2</w:t>
      </w:r>
      <w:r>
        <w:rPr>
          <w:rFonts w:hint="eastAsia" w:ascii="仿宋_GB2312"/>
          <w:color w:val="auto"/>
          <w:sz w:val="32"/>
          <w:szCs w:val="32"/>
          <w:highlight w:val="none"/>
          <w:lang w:val="en-US" w:eastAsia="zh-CN"/>
        </w:rPr>
        <w:t>3</w:t>
      </w:r>
      <w:r>
        <w:rPr>
          <w:rFonts w:hint="eastAsia" w:ascii="仿宋_GB2312"/>
          <w:color w:val="auto"/>
          <w:sz w:val="32"/>
          <w:szCs w:val="32"/>
          <w:highlight w:val="none"/>
        </w:rPr>
        <w:t>年底实际支出</w:t>
      </w:r>
      <w:r>
        <w:rPr>
          <w:rFonts w:hint="eastAsia" w:ascii="仿宋_GB2312"/>
          <w:color w:val="auto"/>
          <w:sz w:val="32"/>
          <w:szCs w:val="32"/>
          <w:highlight w:val="none"/>
          <w:lang w:val="en-US" w:eastAsia="zh-CN"/>
        </w:rPr>
        <w:t>9570.83</w:t>
      </w:r>
      <w:r>
        <w:rPr>
          <w:rFonts w:hint="eastAsia" w:ascii="仿宋_GB2312"/>
          <w:color w:val="auto"/>
          <w:sz w:val="32"/>
          <w:szCs w:val="32"/>
          <w:highlight w:val="none"/>
        </w:rPr>
        <w:t>万元，预算执行率为</w:t>
      </w:r>
      <w:r>
        <w:rPr>
          <w:rFonts w:hint="eastAsia" w:ascii="仿宋_GB2312"/>
          <w:color w:val="auto"/>
          <w:sz w:val="32"/>
          <w:szCs w:val="32"/>
          <w:highlight w:val="none"/>
          <w:lang w:val="en-US" w:eastAsia="zh-CN"/>
        </w:rPr>
        <w:t>75.03</w:t>
      </w:r>
      <w:r>
        <w:rPr>
          <w:rFonts w:hint="eastAsia" w:ascii="仿宋_GB2312"/>
          <w:color w:val="auto"/>
          <w:sz w:val="32"/>
          <w:szCs w:val="32"/>
          <w:highlight w:val="none"/>
        </w:rPr>
        <w:t>%。</w:t>
      </w:r>
    </w:p>
    <w:p>
      <w:pPr>
        <w:adjustRightInd w:val="0"/>
        <w:snapToGrid w:val="0"/>
        <w:spacing w:line="360" w:lineRule="auto"/>
        <w:ind w:firstLine="643" w:firstLineChars="200"/>
        <w:rPr>
          <w:rFonts w:ascii="仿宋_GB2312"/>
          <w:color w:val="auto"/>
          <w:sz w:val="32"/>
          <w:szCs w:val="32"/>
          <w:highlight w:val="none"/>
        </w:rPr>
      </w:pPr>
      <w:r>
        <w:rPr>
          <w:rFonts w:hint="eastAsia" w:ascii="仿宋_GB2312"/>
          <w:b/>
          <w:bCs/>
          <w:color w:val="auto"/>
          <w:sz w:val="32"/>
          <w:szCs w:val="32"/>
          <w:highlight w:val="none"/>
        </w:rPr>
        <w:t>结余结转变动情况。</w:t>
      </w:r>
      <w:r>
        <w:rPr>
          <w:rFonts w:hint="eastAsia" w:ascii="仿宋_GB2312"/>
          <w:color w:val="auto"/>
          <w:sz w:val="32"/>
          <w:szCs w:val="32"/>
          <w:highlight w:val="none"/>
        </w:rPr>
        <w:t>202</w:t>
      </w:r>
      <w:r>
        <w:rPr>
          <w:rFonts w:hint="eastAsia" w:ascii="仿宋_GB2312"/>
          <w:color w:val="auto"/>
          <w:sz w:val="32"/>
          <w:szCs w:val="32"/>
          <w:highlight w:val="none"/>
          <w:lang w:val="en-US" w:eastAsia="zh-CN"/>
        </w:rPr>
        <w:t>3</w:t>
      </w:r>
      <w:r>
        <w:rPr>
          <w:rFonts w:hint="eastAsia" w:ascii="仿宋_GB2312"/>
          <w:color w:val="auto"/>
          <w:sz w:val="32"/>
          <w:szCs w:val="32"/>
          <w:highlight w:val="none"/>
        </w:rPr>
        <w:t>年初结转结余资金为</w:t>
      </w:r>
      <w:r>
        <w:rPr>
          <w:rFonts w:hint="eastAsia" w:ascii="仿宋_GB2312"/>
          <w:color w:val="auto"/>
          <w:sz w:val="32"/>
          <w:szCs w:val="32"/>
          <w:highlight w:val="none"/>
          <w:lang w:val="en-US" w:eastAsia="zh-CN"/>
        </w:rPr>
        <w:t>5189.74</w:t>
      </w:r>
      <w:r>
        <w:rPr>
          <w:rFonts w:hint="eastAsia" w:ascii="仿宋_GB2312"/>
          <w:color w:val="auto"/>
          <w:sz w:val="32"/>
          <w:szCs w:val="32"/>
          <w:highlight w:val="none"/>
        </w:rPr>
        <w:t>万元，202</w:t>
      </w:r>
      <w:r>
        <w:rPr>
          <w:rFonts w:hint="eastAsia" w:ascii="仿宋_GB2312"/>
          <w:color w:val="auto"/>
          <w:sz w:val="32"/>
          <w:szCs w:val="32"/>
          <w:highlight w:val="none"/>
          <w:lang w:val="en-US" w:eastAsia="zh-CN"/>
        </w:rPr>
        <w:t>3</w:t>
      </w:r>
      <w:r>
        <w:rPr>
          <w:rFonts w:hint="eastAsia" w:ascii="仿宋_GB2312"/>
          <w:color w:val="auto"/>
          <w:sz w:val="32"/>
          <w:szCs w:val="32"/>
          <w:highlight w:val="none"/>
        </w:rPr>
        <w:t>年底上年结转结余资金为</w:t>
      </w:r>
      <w:r>
        <w:rPr>
          <w:rFonts w:hint="eastAsia" w:ascii="仿宋_GB2312"/>
          <w:color w:val="auto"/>
          <w:sz w:val="32"/>
          <w:szCs w:val="32"/>
          <w:highlight w:val="none"/>
          <w:lang w:val="en-US" w:eastAsia="zh-CN"/>
        </w:rPr>
        <w:t>152.56</w:t>
      </w:r>
      <w:r>
        <w:rPr>
          <w:rFonts w:hint="eastAsia" w:ascii="仿宋_GB2312"/>
          <w:color w:val="auto"/>
          <w:sz w:val="32"/>
          <w:szCs w:val="32"/>
          <w:highlight w:val="none"/>
        </w:rPr>
        <w:t>万元，结转结余变动率为9</w:t>
      </w:r>
      <w:r>
        <w:rPr>
          <w:rFonts w:hint="eastAsia" w:ascii="仿宋_GB2312"/>
          <w:color w:val="auto"/>
          <w:sz w:val="32"/>
          <w:szCs w:val="32"/>
          <w:highlight w:val="none"/>
          <w:lang w:val="en-US" w:eastAsia="zh-CN"/>
        </w:rPr>
        <w:t>7</w:t>
      </w:r>
      <w:r>
        <w:rPr>
          <w:rFonts w:hint="eastAsia" w:ascii="仿宋_GB2312"/>
          <w:color w:val="auto"/>
          <w:sz w:val="32"/>
          <w:szCs w:val="32"/>
          <w:highlight w:val="none"/>
        </w:rPr>
        <w:t>.</w:t>
      </w:r>
      <w:r>
        <w:rPr>
          <w:rFonts w:hint="eastAsia" w:ascii="仿宋_GB2312"/>
          <w:color w:val="auto"/>
          <w:sz w:val="32"/>
          <w:szCs w:val="32"/>
          <w:highlight w:val="none"/>
          <w:lang w:val="en-US" w:eastAsia="zh-CN"/>
        </w:rPr>
        <w:t>06</w:t>
      </w:r>
      <w:r>
        <w:rPr>
          <w:rFonts w:hint="eastAsia" w:ascii="仿宋_GB2312"/>
          <w:color w:val="auto"/>
          <w:sz w:val="32"/>
          <w:szCs w:val="32"/>
          <w:highlight w:val="none"/>
        </w:rPr>
        <w:t>%</w:t>
      </w:r>
      <w:r>
        <w:rPr>
          <w:rStyle w:val="21"/>
          <w:rFonts w:ascii="仿宋_GB2312"/>
          <w:color w:val="auto"/>
          <w:sz w:val="32"/>
          <w:szCs w:val="32"/>
          <w:highlight w:val="none"/>
        </w:rPr>
        <w:footnoteReference w:id="0"/>
      </w:r>
      <w:r>
        <w:rPr>
          <w:rFonts w:hint="eastAsia" w:ascii="仿宋_GB2312"/>
          <w:color w:val="auto"/>
          <w:sz w:val="32"/>
          <w:szCs w:val="32"/>
          <w:highlight w:val="none"/>
        </w:rPr>
        <w:t>，202</w:t>
      </w:r>
      <w:r>
        <w:rPr>
          <w:rFonts w:hint="eastAsia" w:ascii="仿宋_GB2312"/>
          <w:color w:val="auto"/>
          <w:sz w:val="32"/>
          <w:szCs w:val="32"/>
          <w:highlight w:val="none"/>
          <w:lang w:val="en-US" w:eastAsia="zh-CN"/>
        </w:rPr>
        <w:t>3</w:t>
      </w:r>
      <w:r>
        <w:rPr>
          <w:rFonts w:hint="eastAsia" w:ascii="仿宋_GB2312"/>
          <w:color w:val="auto"/>
          <w:sz w:val="32"/>
          <w:szCs w:val="32"/>
          <w:highlight w:val="none"/>
        </w:rPr>
        <w:t>年度基本消化</w:t>
      </w:r>
      <w:r>
        <w:rPr>
          <w:rFonts w:hint="eastAsia" w:ascii="仿宋_GB2312"/>
          <w:color w:val="auto"/>
          <w:sz w:val="32"/>
          <w:szCs w:val="32"/>
          <w:highlight w:val="none"/>
          <w:lang w:val="en-US" w:eastAsia="zh-CN"/>
        </w:rPr>
        <w:t>2022年度</w:t>
      </w:r>
      <w:r>
        <w:rPr>
          <w:rFonts w:hint="eastAsia" w:ascii="仿宋_GB2312"/>
          <w:color w:val="auto"/>
          <w:sz w:val="32"/>
          <w:szCs w:val="32"/>
          <w:highlight w:val="none"/>
        </w:rPr>
        <w:t>结余结转资金。</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13" w:name="_Toc13443"/>
      <w:bookmarkStart w:id="114" w:name="_Toc21474"/>
      <w:bookmarkStart w:id="115" w:name="_Toc1556"/>
      <w:r>
        <w:rPr>
          <w:rFonts w:hint="eastAsia" w:ascii="仿宋_GB2312" w:hAnsi="仿宋_GB2312" w:cs="仿宋_GB2312"/>
          <w:iCs/>
          <w:color w:val="auto"/>
          <w:sz w:val="32"/>
          <w:szCs w:val="32"/>
          <w:highlight w:val="none"/>
        </w:rPr>
        <w:t>2</w:t>
      </w:r>
      <w:r>
        <w:rPr>
          <w:rFonts w:ascii="仿宋_GB2312" w:hAnsi="仿宋_GB2312" w:cs="仿宋_GB2312"/>
          <w:iCs/>
          <w:color w:val="auto"/>
          <w:sz w:val="32"/>
          <w:szCs w:val="32"/>
          <w:highlight w:val="none"/>
        </w:rPr>
        <w:t>.</w:t>
      </w:r>
      <w:r>
        <w:rPr>
          <w:rFonts w:hint="eastAsia" w:ascii="仿宋_GB2312" w:hAnsi="仿宋_GB2312" w:cs="仿宋_GB2312"/>
          <w:iCs/>
          <w:color w:val="auto"/>
          <w:sz w:val="32"/>
          <w:szCs w:val="32"/>
          <w:highlight w:val="none"/>
        </w:rPr>
        <w:t>组织实施分析</w:t>
      </w:r>
      <w:bookmarkEnd w:id="113"/>
      <w:bookmarkEnd w:id="114"/>
      <w:bookmarkEnd w:id="115"/>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bCs/>
          <w:color w:val="auto"/>
          <w:sz w:val="32"/>
          <w:szCs w:val="32"/>
          <w:highlight w:val="none"/>
        </w:rPr>
        <w:t>管理制度健全性。</w:t>
      </w:r>
      <w:r>
        <w:rPr>
          <w:rFonts w:hint="eastAsia" w:ascii="仿宋_GB2312" w:hAnsi="仿宋_GB2312" w:cs="仿宋_GB2312"/>
          <w:color w:val="auto"/>
          <w:sz w:val="32"/>
          <w:szCs w:val="32"/>
          <w:highlight w:val="none"/>
        </w:rPr>
        <w:t>市经信局严格</w:t>
      </w:r>
      <w:r>
        <w:rPr>
          <w:rFonts w:ascii="仿宋_GB2312" w:hAnsi="仿宋_GB2312" w:cs="仿宋_GB2312"/>
          <w:color w:val="auto"/>
          <w:sz w:val="32"/>
          <w:szCs w:val="32"/>
          <w:highlight w:val="none"/>
        </w:rPr>
        <w:t>按照</w:t>
      </w:r>
      <w:r>
        <w:rPr>
          <w:rFonts w:hint="eastAsia" w:ascii="仿宋_GB2312" w:hAnsi="仿宋_GB2312" w:cs="仿宋_GB2312"/>
          <w:color w:val="auto"/>
          <w:sz w:val="32"/>
          <w:szCs w:val="32"/>
          <w:highlight w:val="none"/>
        </w:rPr>
        <w:t>《无线电管理经费资金管理办法》（财建〔20</w:t>
      </w:r>
      <w:r>
        <w:rPr>
          <w:rFonts w:hint="eastAsia" w:ascii="仿宋_GB2312" w:hAnsi="仿宋_GB2312" w:cs="仿宋_GB2312"/>
          <w:color w:val="auto"/>
          <w:sz w:val="32"/>
          <w:szCs w:val="32"/>
          <w:highlight w:val="none"/>
          <w:lang w:val="en-US" w:eastAsia="zh-CN"/>
        </w:rPr>
        <w:t>23</w:t>
      </w:r>
      <w:r>
        <w:rPr>
          <w:rFonts w:hint="eastAsia" w:ascii="仿宋_GB2312" w:hAnsi="仿宋_GB2312" w:cs="仿宋_GB2312"/>
          <w:color w:val="auto"/>
          <w:sz w:val="32"/>
          <w:szCs w:val="32"/>
          <w:highlight w:val="none"/>
        </w:rPr>
        <w:t>〕</w:t>
      </w:r>
      <w:r>
        <w:rPr>
          <w:rFonts w:hint="eastAsia" w:ascii="仿宋_GB2312" w:hAnsi="仿宋_GB2312" w:cs="仿宋_GB2312"/>
          <w:color w:val="auto"/>
          <w:sz w:val="32"/>
          <w:szCs w:val="32"/>
          <w:highlight w:val="none"/>
          <w:lang w:val="en-US" w:eastAsia="zh-CN"/>
        </w:rPr>
        <w:t>224</w:t>
      </w:r>
      <w:r>
        <w:rPr>
          <w:rFonts w:hint="eastAsia" w:ascii="仿宋_GB2312" w:hAnsi="仿宋_GB2312" w:cs="仿宋_GB2312"/>
          <w:color w:val="auto"/>
          <w:sz w:val="32"/>
          <w:szCs w:val="32"/>
          <w:highlight w:val="none"/>
        </w:rPr>
        <w:t>号）等管理办法执行。年度内</w:t>
      </w:r>
      <w:r>
        <w:rPr>
          <w:rFonts w:ascii="仿宋_GB2312" w:hAnsi="仿宋_GB2312" w:cs="仿宋_GB2312"/>
          <w:color w:val="auto"/>
          <w:sz w:val="32"/>
          <w:szCs w:val="32"/>
          <w:highlight w:val="none"/>
        </w:rPr>
        <w:t>，</w:t>
      </w:r>
      <w:r>
        <w:rPr>
          <w:rFonts w:hint="eastAsia" w:ascii="仿宋_GB2312" w:hAnsi="仿宋_GB2312" w:cs="仿宋_GB2312"/>
          <w:color w:val="auto"/>
          <w:sz w:val="32"/>
          <w:szCs w:val="32"/>
          <w:highlight w:val="none"/>
        </w:rPr>
        <w:t>项目沿用机构改革前原市无线电管理局制定的《北京市无线电管理局项目和资金管理办法》《北京市无线电管理局项目建设管理办法》，为进一步加强项目管理，市</w:t>
      </w:r>
      <w:r>
        <w:rPr>
          <w:rFonts w:ascii="仿宋_GB2312" w:hAnsi="仿宋_GB2312" w:cs="仿宋_GB2312"/>
          <w:color w:val="auto"/>
          <w:sz w:val="32"/>
          <w:szCs w:val="32"/>
          <w:highlight w:val="none"/>
        </w:rPr>
        <w:t>经信局制定了</w:t>
      </w:r>
      <w:r>
        <w:rPr>
          <w:rFonts w:hint="eastAsia" w:ascii="仿宋_GB2312" w:hAnsi="仿宋_GB2312" w:cs="仿宋_GB2312"/>
          <w:color w:val="auto"/>
          <w:sz w:val="32"/>
          <w:szCs w:val="32"/>
          <w:highlight w:val="none"/>
        </w:rPr>
        <w:t>《北京市经济和信息化局预算管理办法（试行）》</w:t>
      </w:r>
      <w:r>
        <w:rPr>
          <w:rFonts w:ascii="仿宋_GB2312" w:hAnsi="仿宋_GB2312" w:cs="仿宋_GB2312"/>
          <w:color w:val="auto"/>
          <w:sz w:val="32"/>
          <w:szCs w:val="32"/>
          <w:highlight w:val="none"/>
        </w:rPr>
        <w:t>《</w:t>
      </w:r>
      <w:r>
        <w:rPr>
          <w:rFonts w:hint="eastAsia" w:ascii="仿宋_GB2312" w:hAnsi="仿宋_GB2312" w:cs="仿宋_GB2312"/>
          <w:color w:val="auto"/>
          <w:sz w:val="32"/>
          <w:szCs w:val="32"/>
          <w:highlight w:val="none"/>
        </w:rPr>
        <w:t>北京市</w:t>
      </w:r>
      <w:r>
        <w:rPr>
          <w:rFonts w:ascii="仿宋_GB2312" w:hAnsi="仿宋_GB2312" w:cs="仿宋_GB2312"/>
          <w:color w:val="auto"/>
          <w:sz w:val="32"/>
          <w:szCs w:val="32"/>
          <w:highlight w:val="none"/>
        </w:rPr>
        <w:t>经济和信息化局无线电频率占用费转移支付资金项目管理</w:t>
      </w:r>
      <w:r>
        <w:rPr>
          <w:rFonts w:hint="eastAsia" w:ascii="仿宋_GB2312" w:hAnsi="仿宋_GB2312" w:cs="仿宋_GB2312"/>
          <w:color w:val="auto"/>
          <w:sz w:val="32"/>
          <w:szCs w:val="32"/>
          <w:highlight w:val="none"/>
        </w:rPr>
        <w:t>办法</w:t>
      </w:r>
      <w:r>
        <w:rPr>
          <w:rFonts w:ascii="仿宋_GB2312" w:hAnsi="仿宋_GB2312" w:cs="仿宋_GB2312"/>
          <w:color w:val="auto"/>
          <w:sz w:val="32"/>
          <w:szCs w:val="32"/>
          <w:highlight w:val="none"/>
        </w:rPr>
        <w:t>（</w:t>
      </w:r>
      <w:r>
        <w:rPr>
          <w:rFonts w:hint="eastAsia" w:ascii="仿宋_GB2312" w:hAnsi="仿宋_GB2312" w:cs="仿宋_GB2312"/>
          <w:color w:val="auto"/>
          <w:sz w:val="32"/>
          <w:szCs w:val="32"/>
          <w:highlight w:val="none"/>
        </w:rPr>
        <w:t>征求意见稿</w:t>
      </w:r>
      <w:r>
        <w:rPr>
          <w:rFonts w:ascii="仿宋_GB2312" w:hAnsi="仿宋_GB2312" w:cs="仿宋_GB2312"/>
          <w:color w:val="auto"/>
          <w:sz w:val="32"/>
          <w:szCs w:val="32"/>
          <w:highlight w:val="none"/>
        </w:rPr>
        <w:t>）》</w:t>
      </w:r>
      <w:r>
        <w:rPr>
          <w:rFonts w:hint="eastAsia" w:ascii="仿宋_GB2312" w:hAnsi="仿宋_GB2312" w:cs="仿宋_GB2312"/>
          <w:color w:val="auto"/>
          <w:sz w:val="32"/>
          <w:szCs w:val="32"/>
          <w:highlight w:val="none"/>
        </w:rPr>
        <w:t>《北京市经济和信息化局政府采购管理办法》《北京市经济和信息化局公开招标管理办法》和《北京市经济和信息化局公开比选管理办法》项目管理制度；监测站制定了</w:t>
      </w:r>
      <w:r>
        <w:rPr>
          <w:rFonts w:hint="eastAsia" w:ascii="仿宋_GB2312" w:hAnsi="仿宋_GB2312" w:cs="仿宋_GB2312"/>
          <w:color w:val="auto"/>
          <w:sz w:val="32"/>
          <w:szCs w:val="32"/>
          <w:highlight w:val="none"/>
          <w:lang w:eastAsia="zh-CN"/>
        </w:rPr>
        <w:t>《监测站内部控制手册》《北京市无线电监测站内部控制制度汇编（试行）》</w:t>
      </w:r>
      <w:r>
        <w:rPr>
          <w:rFonts w:hint="eastAsia" w:ascii="仿宋_GB2312" w:hAnsi="仿宋_GB2312" w:cs="仿宋_GB2312"/>
          <w:color w:val="auto"/>
          <w:sz w:val="32"/>
          <w:szCs w:val="32"/>
          <w:highlight w:val="none"/>
        </w:rPr>
        <w:t>《北京市无线电监测站预算和项目管理办法》《北京市无线电监测站财务管理制度》《北京市无线电监测站合同管理办法（试行）》等，明确了项目立项与预算申报、项目执行与管理、合同签订、项目验收与档案管理等要求。项目管理</w:t>
      </w:r>
      <w:r>
        <w:rPr>
          <w:rFonts w:ascii="仿宋_GB2312" w:hAnsi="仿宋_GB2312" w:cs="仿宋_GB2312"/>
          <w:color w:val="auto"/>
          <w:sz w:val="32"/>
          <w:szCs w:val="32"/>
          <w:highlight w:val="none"/>
        </w:rPr>
        <w:t>制度健全</w:t>
      </w:r>
      <w:r>
        <w:rPr>
          <w:rFonts w:hint="eastAsia" w:ascii="仿宋_GB2312" w:hAnsi="仿宋_GB2312" w:cs="仿宋_GB2312"/>
          <w:color w:val="auto"/>
          <w:sz w:val="32"/>
          <w:szCs w:val="32"/>
          <w:highlight w:val="none"/>
        </w:rPr>
        <w:t>，为后续年度项目执行增强了制度保障。</w:t>
      </w:r>
    </w:p>
    <w:p>
      <w:pPr>
        <w:adjustRightInd w:val="0"/>
        <w:snapToGrid w:val="0"/>
        <w:spacing w:line="360" w:lineRule="auto"/>
        <w:ind w:firstLine="643" w:firstLineChars="200"/>
        <w:rPr>
          <w:rFonts w:hint="default" w:ascii="仿宋_GB2312" w:hAnsi="仿宋_GB2312" w:eastAsia="仿宋_GB2312" w:cs="仿宋_GB2312"/>
          <w:color w:val="auto"/>
          <w:sz w:val="32"/>
          <w:szCs w:val="32"/>
          <w:highlight w:val="none"/>
          <w:lang w:val="en-US" w:eastAsia="zh-CN"/>
        </w:rPr>
      </w:pPr>
      <w:r>
        <w:rPr>
          <w:rFonts w:hint="eastAsia" w:ascii="仿宋_GB2312" w:hAnsi="仿宋_GB2312" w:cs="仿宋_GB2312"/>
          <w:b/>
          <w:bCs/>
          <w:color w:val="auto"/>
          <w:sz w:val="32"/>
          <w:szCs w:val="32"/>
          <w:highlight w:val="none"/>
        </w:rPr>
        <w:t>制度执行有效性</w:t>
      </w:r>
      <w:bookmarkStart w:id="116" w:name="_Hlk55295733"/>
      <w:r>
        <w:rPr>
          <w:rFonts w:hint="eastAsia" w:ascii="仿宋_GB2312" w:hAnsi="仿宋_GB2312" w:cs="仿宋_GB2312"/>
          <w:b/>
          <w:bCs/>
          <w:color w:val="auto"/>
          <w:sz w:val="32"/>
          <w:szCs w:val="32"/>
          <w:highlight w:val="none"/>
        </w:rPr>
        <w:t>。一是</w:t>
      </w:r>
      <w:r>
        <w:rPr>
          <w:rStyle w:val="20"/>
          <w:rFonts w:hint="eastAsia"/>
          <w:color w:val="auto"/>
          <w:sz w:val="32"/>
          <w:szCs w:val="32"/>
          <w:highlight w:val="none"/>
        </w:rPr>
        <w:t>年度内市经信局未进行预算或项目调整；</w:t>
      </w:r>
      <w:r>
        <w:rPr>
          <w:rStyle w:val="20"/>
          <w:rFonts w:hint="eastAsia"/>
          <w:b/>
          <w:color w:val="auto"/>
          <w:sz w:val="32"/>
          <w:szCs w:val="32"/>
          <w:highlight w:val="none"/>
        </w:rPr>
        <w:t>二是</w:t>
      </w:r>
      <w:r>
        <w:rPr>
          <w:rStyle w:val="20"/>
          <w:rFonts w:hint="eastAsia"/>
          <w:b w:val="0"/>
          <w:bCs/>
          <w:color w:val="auto"/>
          <w:sz w:val="32"/>
          <w:szCs w:val="32"/>
          <w:highlight w:val="none"/>
          <w:lang w:val="en-US" w:eastAsia="zh-CN"/>
        </w:rPr>
        <w:t>2023年度</w:t>
      </w:r>
      <w:r>
        <w:rPr>
          <w:rStyle w:val="20"/>
          <w:rFonts w:hint="eastAsia"/>
          <w:color w:val="auto"/>
          <w:sz w:val="32"/>
          <w:szCs w:val="32"/>
          <w:highlight w:val="none"/>
        </w:rPr>
        <w:t>建设项目暂未完成最终验收，登记入库和备案程序待完成后履行，202</w:t>
      </w:r>
      <w:r>
        <w:rPr>
          <w:rStyle w:val="20"/>
          <w:rFonts w:hint="eastAsia"/>
          <w:color w:val="auto"/>
          <w:sz w:val="32"/>
          <w:szCs w:val="32"/>
          <w:highlight w:val="none"/>
          <w:lang w:val="en-US" w:eastAsia="zh-CN"/>
        </w:rPr>
        <w:t>2</w:t>
      </w:r>
      <w:r>
        <w:rPr>
          <w:rStyle w:val="20"/>
          <w:rFonts w:hint="eastAsia"/>
          <w:color w:val="auto"/>
          <w:sz w:val="32"/>
          <w:szCs w:val="32"/>
          <w:highlight w:val="none"/>
        </w:rPr>
        <w:t>年</w:t>
      </w:r>
      <w:r>
        <w:rPr>
          <w:rStyle w:val="20"/>
          <w:rFonts w:hint="eastAsia"/>
          <w:color w:val="auto"/>
          <w:sz w:val="32"/>
          <w:szCs w:val="32"/>
          <w:highlight w:val="none"/>
          <w:lang w:val="en-US" w:eastAsia="zh-CN"/>
        </w:rPr>
        <w:t>度</w:t>
      </w:r>
      <w:r>
        <w:rPr>
          <w:rStyle w:val="20"/>
          <w:rFonts w:hint="eastAsia"/>
          <w:color w:val="auto"/>
          <w:sz w:val="32"/>
          <w:szCs w:val="32"/>
          <w:highlight w:val="none"/>
        </w:rPr>
        <w:t>建设项目</w:t>
      </w:r>
      <w:r>
        <w:rPr>
          <w:rStyle w:val="20"/>
          <w:rFonts w:hint="eastAsia"/>
          <w:color w:val="auto"/>
          <w:sz w:val="32"/>
          <w:szCs w:val="32"/>
          <w:highlight w:val="none"/>
          <w:lang w:val="en-US" w:eastAsia="zh-CN"/>
        </w:rPr>
        <w:t>于2023年完成后</w:t>
      </w:r>
      <w:r>
        <w:rPr>
          <w:rStyle w:val="20"/>
          <w:rFonts w:hint="eastAsia"/>
          <w:color w:val="auto"/>
          <w:sz w:val="32"/>
          <w:szCs w:val="32"/>
          <w:highlight w:val="none"/>
        </w:rPr>
        <w:t>均履行了登记入库和备案程序；</w:t>
      </w:r>
      <w:r>
        <w:rPr>
          <w:rStyle w:val="20"/>
          <w:rFonts w:hint="eastAsia"/>
          <w:b/>
          <w:bCs/>
          <w:color w:val="auto"/>
          <w:sz w:val="32"/>
          <w:szCs w:val="32"/>
          <w:highlight w:val="none"/>
        </w:rPr>
        <w:t>三是</w:t>
      </w:r>
      <w:r>
        <w:rPr>
          <w:rStyle w:val="20"/>
          <w:rFonts w:hint="eastAsia"/>
          <w:bCs/>
          <w:color w:val="auto"/>
          <w:sz w:val="32"/>
          <w:szCs w:val="32"/>
          <w:highlight w:val="none"/>
        </w:rPr>
        <w:t>政府采购过程规范，</w:t>
      </w:r>
      <w:r>
        <w:rPr>
          <w:rStyle w:val="20"/>
          <w:rFonts w:hint="eastAsia"/>
          <w:color w:val="auto"/>
          <w:sz w:val="32"/>
          <w:szCs w:val="32"/>
          <w:highlight w:val="none"/>
        </w:rPr>
        <w:t>采购文件编制、公告发布、开标、评标、结果公示、合同签订等采购过程符合《北京市经济和信息化局政府采购管理办法》《北京市经济和信息化局公开招标管理办法》等相关制度要求</w:t>
      </w:r>
      <w:r>
        <w:rPr>
          <w:rFonts w:hint="eastAsia" w:ascii="仿宋_GB2312" w:hAnsi="仿宋"/>
          <w:color w:val="auto"/>
          <w:sz w:val="32"/>
          <w:szCs w:val="32"/>
          <w:highlight w:val="none"/>
        </w:rPr>
        <w:t>。</w:t>
      </w:r>
      <w:r>
        <w:rPr>
          <w:rFonts w:hint="eastAsia" w:ascii="仿宋_GB2312" w:hAnsi="仿宋"/>
          <w:color w:val="auto"/>
          <w:sz w:val="32"/>
          <w:szCs w:val="32"/>
          <w:highlight w:val="none"/>
          <w:lang w:val="en-US" w:eastAsia="zh-CN"/>
        </w:rPr>
        <w:t>但频谱资源动态分析与决策支撑、固定监测站覆盖能力提升等项目监理合同签订时间较早，在</w:t>
      </w:r>
      <w:r>
        <w:rPr>
          <w:rFonts w:hint="eastAsia" w:ascii="仿宋_GB2312" w:hAnsi="仿宋_GB2312" w:cs="仿宋_GB2312"/>
          <w:color w:val="auto"/>
          <w:sz w:val="32"/>
          <w:szCs w:val="32"/>
          <w:highlight w:val="none"/>
          <w:lang w:val="en-US" w:eastAsia="zh-CN"/>
        </w:rPr>
        <w:t>具体采购内容尚未确定的情况下，监</w:t>
      </w:r>
      <w:r>
        <w:rPr>
          <w:rFonts w:hint="eastAsia"/>
          <w:sz w:val="32"/>
          <w:szCs w:val="32"/>
          <w:highlight w:val="none"/>
          <w:lang w:val="en-US" w:eastAsia="zh-CN"/>
        </w:rPr>
        <w:t>理合同为固定费用的确定依据不足，监理需开展的</w:t>
      </w:r>
      <w:r>
        <w:rPr>
          <w:rFonts w:hint="eastAsia" w:ascii="仿宋_GB2312" w:hAnsi="仿宋_GB2312" w:cs="仿宋_GB2312"/>
          <w:color w:val="auto"/>
          <w:sz w:val="32"/>
          <w:szCs w:val="32"/>
          <w:highlight w:val="none"/>
          <w:lang w:val="en-US" w:eastAsia="zh-CN"/>
        </w:rPr>
        <w:t>工作内容、要求和实施条件</w:t>
      </w:r>
      <w:r>
        <w:rPr>
          <w:rFonts w:hint="eastAsia"/>
          <w:sz w:val="32"/>
          <w:szCs w:val="32"/>
          <w:highlight w:val="none"/>
          <w:lang w:val="en-US" w:eastAsia="zh-CN"/>
        </w:rPr>
        <w:t>与实际可能存在一定偏差，未来存在因监理工作要求变化及费用调整等影响合同履行的风险。</w:t>
      </w:r>
    </w:p>
    <w:p>
      <w:pPr>
        <w:adjustRightInd w:val="0"/>
        <w:snapToGrid w:val="0"/>
        <w:spacing w:line="360" w:lineRule="auto"/>
        <w:ind w:firstLine="640" w:firstLineChars="200"/>
        <w:rPr>
          <w:rFonts w:ascii="仿宋_GB2312"/>
          <w:color w:val="auto"/>
          <w:sz w:val="32"/>
          <w:szCs w:val="32"/>
          <w:highlight w:val="none"/>
        </w:rPr>
      </w:pPr>
      <w:r>
        <w:rPr>
          <w:rFonts w:hint="eastAsia" w:ascii="仿宋_GB2312" w:hAnsi="仿宋_GB2312" w:cs="仿宋_GB2312"/>
          <w:color w:val="auto"/>
          <w:sz w:val="32"/>
          <w:szCs w:val="32"/>
          <w:highlight w:val="none"/>
        </w:rPr>
        <w:t>综上，项目管理制度健全，制度执行有效性较好。</w:t>
      </w:r>
      <w:bookmarkEnd w:id="116"/>
    </w:p>
    <w:p>
      <w:pPr>
        <w:pStyle w:val="3"/>
        <w:keepNext w:val="0"/>
        <w:keepLines w:val="0"/>
        <w:adjustRightInd w:val="0"/>
        <w:snapToGrid w:val="0"/>
        <w:spacing w:before="0" w:after="0" w:line="360" w:lineRule="auto"/>
        <w:ind w:firstLine="640" w:firstLineChars="200"/>
        <w:rPr>
          <w:rFonts w:ascii="楷体_GB2312" w:hAnsi="等线" w:eastAsia="楷体_GB2312" w:cs="Times New Roman"/>
          <w:b w:val="0"/>
          <w:bCs w:val="0"/>
          <w:color w:val="auto"/>
          <w:highlight w:val="none"/>
        </w:rPr>
      </w:pPr>
      <w:bookmarkStart w:id="117" w:name="_Toc336506964"/>
      <w:bookmarkStart w:id="118" w:name="_Toc336506899"/>
      <w:bookmarkStart w:id="119" w:name="_Toc22241"/>
      <w:bookmarkStart w:id="120" w:name="_Toc55475193"/>
      <w:bookmarkStart w:id="121" w:name="_Toc957"/>
      <w:bookmarkStart w:id="122" w:name="_Toc16195"/>
      <w:bookmarkStart w:id="123" w:name="_Toc3359"/>
      <w:r>
        <w:rPr>
          <w:rFonts w:hint="eastAsia" w:ascii="楷体_GB2312" w:hAnsi="等线" w:eastAsia="楷体_GB2312" w:cs="Times New Roman"/>
          <w:b w:val="0"/>
          <w:bCs w:val="0"/>
          <w:color w:val="auto"/>
          <w:highlight w:val="none"/>
        </w:rPr>
        <w:t>（三）</w:t>
      </w:r>
      <w:bookmarkEnd w:id="117"/>
      <w:bookmarkEnd w:id="118"/>
      <w:r>
        <w:rPr>
          <w:rFonts w:hint="eastAsia" w:ascii="楷体_GB2312" w:hAnsi="等线" w:eastAsia="楷体_GB2312" w:cs="Times New Roman"/>
          <w:b w:val="0"/>
          <w:bCs w:val="0"/>
          <w:color w:val="auto"/>
          <w:highlight w:val="none"/>
        </w:rPr>
        <w:t>产出情况分析</w:t>
      </w:r>
      <w:bookmarkEnd w:id="119"/>
      <w:bookmarkEnd w:id="120"/>
      <w:bookmarkEnd w:id="121"/>
      <w:bookmarkEnd w:id="122"/>
      <w:bookmarkEnd w:id="123"/>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
          <w:color w:val="auto"/>
          <w:sz w:val="32"/>
          <w:szCs w:val="32"/>
          <w:highlight w:val="none"/>
        </w:rPr>
        <w:t>截至202</w:t>
      </w:r>
      <w:r>
        <w:rPr>
          <w:rFonts w:hint="eastAsia" w:ascii="仿宋_GB2312" w:hAnsi="仿宋"/>
          <w:color w:val="auto"/>
          <w:sz w:val="32"/>
          <w:szCs w:val="32"/>
          <w:highlight w:val="none"/>
          <w:lang w:val="en-US" w:eastAsia="zh-CN"/>
        </w:rPr>
        <w:t>3</w:t>
      </w:r>
      <w:r>
        <w:rPr>
          <w:rFonts w:hint="eastAsia" w:ascii="仿宋_GB2312" w:hAnsi="仿宋"/>
          <w:color w:val="auto"/>
          <w:sz w:val="32"/>
          <w:szCs w:val="32"/>
          <w:highlight w:val="none"/>
        </w:rPr>
        <w:t>年12月底</w:t>
      </w:r>
      <w:r>
        <w:rPr>
          <w:rFonts w:ascii="仿宋_GB2312" w:hAnsi="仿宋"/>
          <w:color w:val="auto"/>
          <w:sz w:val="32"/>
          <w:szCs w:val="32"/>
          <w:highlight w:val="none"/>
        </w:rPr>
        <w:t>，市经信局</w:t>
      </w:r>
      <w:r>
        <w:rPr>
          <w:rFonts w:hint="eastAsia" w:ascii="仿宋_GB2312" w:hAnsi="仿宋"/>
          <w:color w:val="auto"/>
          <w:sz w:val="32"/>
          <w:szCs w:val="32"/>
          <w:highlight w:val="none"/>
        </w:rPr>
        <w:t>和监测站</w:t>
      </w:r>
      <w:r>
        <w:rPr>
          <w:rFonts w:ascii="仿宋_GB2312" w:hAnsi="仿宋"/>
          <w:color w:val="auto"/>
          <w:sz w:val="32"/>
          <w:szCs w:val="32"/>
          <w:highlight w:val="none"/>
        </w:rPr>
        <w:t>完成了</w:t>
      </w:r>
      <w:r>
        <w:rPr>
          <w:rFonts w:hint="eastAsia" w:ascii="仿宋_GB2312" w:hAnsi="仿宋"/>
          <w:color w:val="auto"/>
          <w:sz w:val="32"/>
          <w:szCs w:val="32"/>
          <w:highlight w:val="none"/>
        </w:rPr>
        <w:t>重大活动无线电安全保障支撑</w:t>
      </w:r>
      <w:r>
        <w:rPr>
          <w:rFonts w:ascii="仿宋_GB2312" w:hAnsi="仿宋"/>
          <w:color w:val="auto"/>
          <w:sz w:val="32"/>
          <w:szCs w:val="32"/>
          <w:highlight w:val="none"/>
        </w:rPr>
        <w:t>等子项目</w:t>
      </w:r>
      <w:r>
        <w:rPr>
          <w:rFonts w:hint="eastAsia" w:ascii="仿宋_GB2312" w:hAnsi="仿宋"/>
          <w:color w:val="auto"/>
          <w:sz w:val="32"/>
          <w:szCs w:val="32"/>
          <w:highlight w:val="none"/>
        </w:rPr>
        <w:t>。建设项目方面，</w:t>
      </w:r>
      <w:r>
        <w:rPr>
          <w:rFonts w:hint="eastAsia" w:ascii="仿宋_GB2312" w:hAnsi="仿宋"/>
          <w:color w:val="auto"/>
          <w:sz w:val="32"/>
          <w:szCs w:val="32"/>
          <w:highlight w:val="none"/>
          <w:lang w:val="en-US" w:eastAsia="zh-CN"/>
        </w:rPr>
        <w:t>2023年度</w:t>
      </w:r>
      <w:r>
        <w:rPr>
          <w:rFonts w:hint="eastAsia" w:ascii="仿宋_GB2312" w:hAnsi="仿宋"/>
          <w:color w:val="auto"/>
          <w:sz w:val="32"/>
          <w:szCs w:val="32"/>
          <w:highlight w:val="none"/>
        </w:rPr>
        <w:t>项目启动时间较晚，项目实施进展较为滞后</w:t>
      </w:r>
      <w:r>
        <w:rPr>
          <w:rFonts w:hint="eastAsia" w:ascii="仿宋_GB2312" w:hAnsi="仿宋_GB2312" w:cs="仿宋_GB2312"/>
          <w:color w:val="auto"/>
          <w:sz w:val="32"/>
          <w:szCs w:val="32"/>
          <w:highlight w:val="none"/>
        </w:rPr>
        <w:t>；运行维护项目方面，完成了设备定期巡检等运维工作，及时处置故障，按照国家要求出具在用</w:t>
      </w:r>
      <w:r>
        <w:rPr>
          <w:rFonts w:ascii="仿宋_GB2312" w:hAnsi="仿宋_GB2312" w:cs="仿宋_GB2312"/>
          <w:color w:val="auto"/>
          <w:sz w:val="32"/>
          <w:szCs w:val="32"/>
          <w:highlight w:val="none"/>
        </w:rPr>
        <w:t>无线电监测设施测试验证</w:t>
      </w:r>
      <w:r>
        <w:rPr>
          <w:rFonts w:hint="eastAsia" w:ascii="仿宋_GB2312" w:hAnsi="仿宋_GB2312" w:cs="仿宋_GB2312"/>
          <w:color w:val="auto"/>
          <w:sz w:val="32"/>
          <w:szCs w:val="32"/>
          <w:highlight w:val="none"/>
        </w:rPr>
        <w:t>报告等；专项监管及其他支出方面，</w:t>
      </w:r>
      <w:r>
        <w:rPr>
          <w:rFonts w:ascii="仿宋_GB2312" w:hAnsi="仿宋_GB2312" w:cs="仿宋_GB2312"/>
          <w:color w:val="auto"/>
          <w:sz w:val="32"/>
          <w:szCs w:val="32"/>
          <w:highlight w:val="none"/>
        </w:rPr>
        <w:t>干扰申诉、重大活动非</w:t>
      </w:r>
      <w:r>
        <w:rPr>
          <w:rFonts w:hint="eastAsia" w:ascii="仿宋_GB2312" w:hAnsi="仿宋_GB2312" w:cs="仿宋_GB2312"/>
          <w:color w:val="auto"/>
          <w:sz w:val="32"/>
          <w:szCs w:val="32"/>
          <w:highlight w:val="none"/>
        </w:rPr>
        <w:t>法</w:t>
      </w:r>
      <w:r>
        <w:rPr>
          <w:rFonts w:ascii="仿宋_GB2312" w:hAnsi="仿宋_GB2312" w:cs="仿宋_GB2312"/>
          <w:color w:val="auto"/>
          <w:sz w:val="32"/>
          <w:szCs w:val="32"/>
          <w:highlight w:val="none"/>
        </w:rPr>
        <w:t>信号</w:t>
      </w:r>
      <w:r>
        <w:rPr>
          <w:rFonts w:hint="eastAsia" w:ascii="仿宋_GB2312" w:hAnsi="仿宋_GB2312" w:cs="仿宋_GB2312"/>
          <w:color w:val="auto"/>
          <w:sz w:val="32"/>
          <w:szCs w:val="32"/>
          <w:highlight w:val="none"/>
        </w:rPr>
        <w:t>处理</w:t>
      </w:r>
      <w:r>
        <w:rPr>
          <w:rFonts w:ascii="仿宋_GB2312" w:hAnsi="仿宋_GB2312" w:cs="仿宋_GB2312"/>
          <w:color w:val="auto"/>
          <w:sz w:val="32"/>
          <w:szCs w:val="32"/>
          <w:highlight w:val="none"/>
        </w:rPr>
        <w:t>及民航</w:t>
      </w:r>
      <w:r>
        <w:rPr>
          <w:rFonts w:hint="eastAsia" w:ascii="仿宋_GB2312" w:hAnsi="仿宋_GB2312" w:cs="仿宋_GB2312"/>
          <w:color w:val="auto"/>
          <w:sz w:val="32"/>
          <w:szCs w:val="32"/>
          <w:highlight w:val="none"/>
        </w:rPr>
        <w:t>/铁路</w:t>
      </w:r>
      <w:r>
        <w:rPr>
          <w:rFonts w:ascii="仿宋_GB2312" w:hAnsi="仿宋_GB2312" w:cs="仿宋_GB2312"/>
          <w:color w:val="auto"/>
          <w:sz w:val="32"/>
          <w:szCs w:val="32"/>
          <w:highlight w:val="none"/>
        </w:rPr>
        <w:t>干扰</w:t>
      </w:r>
      <w:r>
        <w:rPr>
          <w:rFonts w:hint="eastAsia" w:ascii="仿宋_GB2312" w:hAnsi="仿宋_GB2312" w:cs="仿宋_GB2312"/>
          <w:color w:val="auto"/>
          <w:sz w:val="32"/>
          <w:szCs w:val="32"/>
          <w:highlight w:val="none"/>
        </w:rPr>
        <w:t>查</w:t>
      </w:r>
      <w:r>
        <w:rPr>
          <w:rFonts w:ascii="仿宋_GB2312" w:hAnsi="仿宋_GB2312" w:cs="仿宋_GB2312"/>
          <w:color w:val="auto"/>
          <w:sz w:val="32"/>
          <w:szCs w:val="32"/>
          <w:highlight w:val="none"/>
        </w:rPr>
        <w:t>处及时</w:t>
      </w:r>
      <w:r>
        <w:rPr>
          <w:rFonts w:hint="eastAsia" w:ascii="仿宋_GB2312" w:hAnsi="仿宋_GB2312" w:cs="仿宋_GB2312"/>
          <w:color w:val="auto"/>
          <w:sz w:val="32"/>
          <w:szCs w:val="32"/>
          <w:highlight w:val="none"/>
        </w:rPr>
        <w:t>，日常监测工作圆满完成</w:t>
      </w:r>
      <w:r>
        <w:rPr>
          <w:rFonts w:hint="eastAsia" w:ascii="仿宋_GB2312" w:hAnsi="仿宋_GB2312" w:cs="仿宋_GB2312"/>
          <w:color w:val="auto"/>
          <w:sz w:val="32"/>
          <w:szCs w:val="32"/>
          <w:highlight w:val="none"/>
          <w:lang w:eastAsia="zh-CN"/>
        </w:rPr>
        <w:t>；</w:t>
      </w:r>
      <w:r>
        <w:rPr>
          <w:rFonts w:hint="default" w:ascii="仿宋_GB2312" w:hAnsi="仿宋_GB2312" w:cs="仿宋_GB2312"/>
          <w:color w:val="auto"/>
          <w:sz w:val="32"/>
          <w:szCs w:val="32"/>
          <w:highlight w:val="none"/>
          <w:lang w:val="en-US" w:eastAsia="zh-CN"/>
        </w:rPr>
        <w:t>无线电发射设备型号核准及设备管理方面，2023年完成了2022年度</w:t>
      </w:r>
      <w:r>
        <w:rPr>
          <w:rFonts w:hint="default" w:ascii="仿宋_GB2312" w:hAnsi="仿宋_GB2312" w:eastAsia="仿宋_GB2312" w:cs="仿宋_GB2312"/>
          <w:color w:val="auto"/>
          <w:sz w:val="32"/>
          <w:szCs w:val="32"/>
          <w:highlight w:val="none"/>
          <w:lang w:val="en-US" w:eastAsia="zh-CN"/>
        </w:rPr>
        <w:t>无线电发射设备型号核准测试及取证后双随机抽查工作，开展了2023年度无线电设备型号核准测试项目招标工作</w:t>
      </w:r>
      <w:r>
        <w:rPr>
          <w:rFonts w:hint="eastAsia" w:ascii="仿宋_GB2312" w:hAnsi="仿宋_GB2312" w:cs="仿宋_GB2312"/>
          <w:color w:val="auto"/>
          <w:sz w:val="32"/>
          <w:szCs w:val="32"/>
          <w:highlight w:val="none"/>
          <w:lang w:val="en-US" w:eastAsia="zh-CN"/>
        </w:rPr>
        <w:t>，同时年度内顺利完成无线电发射设备销售备案和巡检工作</w:t>
      </w:r>
      <w:r>
        <w:rPr>
          <w:rFonts w:hint="default" w:ascii="仿宋_GB2312" w:hAnsi="仿宋_GB2312" w:cs="仿宋_GB2312"/>
          <w:color w:val="auto"/>
          <w:sz w:val="32"/>
          <w:szCs w:val="32"/>
          <w:highlight w:val="none"/>
        </w:rPr>
        <w:t>。</w:t>
      </w:r>
      <w:r>
        <w:rPr>
          <w:rFonts w:hint="eastAsia" w:ascii="仿宋_GB2312" w:hAnsi="仿宋_GB2312" w:cs="仿宋_GB2312"/>
          <w:color w:val="auto"/>
          <w:sz w:val="32"/>
          <w:szCs w:val="32"/>
          <w:highlight w:val="none"/>
        </w:rPr>
        <w:t>项目实施过程中采取公开招标等采购方式</w:t>
      </w:r>
      <w:r>
        <w:rPr>
          <w:rStyle w:val="20"/>
          <w:rFonts w:hint="eastAsia"/>
          <w:color w:val="auto"/>
          <w:highlight w:val="none"/>
        </w:rPr>
        <w:t>，</w:t>
      </w:r>
      <w:r>
        <w:rPr>
          <w:rFonts w:hint="eastAsia" w:ascii="仿宋_GB2312" w:hAnsi="仿宋"/>
          <w:color w:val="auto"/>
          <w:sz w:val="32"/>
          <w:szCs w:val="32"/>
          <w:highlight w:val="none"/>
        </w:rPr>
        <w:t>有效节约了项目成本，各项目合同成本均不超预算。该指标分值36分，得分</w:t>
      </w:r>
      <w:r>
        <w:rPr>
          <w:rFonts w:hint="eastAsia" w:ascii="仿宋_GB2312" w:hAnsi="仿宋"/>
          <w:color w:val="auto"/>
          <w:sz w:val="32"/>
          <w:szCs w:val="32"/>
          <w:highlight w:val="none"/>
          <w:lang w:eastAsia="zh-CN"/>
        </w:rPr>
        <w:t>3</w:t>
      </w:r>
      <w:r>
        <w:rPr>
          <w:rFonts w:hint="eastAsia" w:ascii="仿宋_GB2312" w:hAnsi="仿宋"/>
          <w:color w:val="auto"/>
          <w:sz w:val="32"/>
          <w:szCs w:val="32"/>
          <w:highlight w:val="none"/>
          <w:lang w:val="en-US" w:eastAsia="zh-CN"/>
        </w:rPr>
        <w:t>1.60</w:t>
      </w:r>
      <w:r>
        <w:rPr>
          <w:rFonts w:hint="eastAsia" w:ascii="仿宋_GB2312" w:hAnsi="仿宋"/>
          <w:color w:val="auto"/>
          <w:sz w:val="32"/>
          <w:szCs w:val="32"/>
          <w:highlight w:val="none"/>
        </w:rPr>
        <w:t>分，得分率</w:t>
      </w:r>
      <w:r>
        <w:rPr>
          <w:rFonts w:hint="eastAsia" w:ascii="仿宋_GB2312" w:hAnsi="仿宋"/>
          <w:color w:val="auto"/>
          <w:sz w:val="32"/>
          <w:szCs w:val="32"/>
          <w:highlight w:val="none"/>
          <w:lang w:eastAsia="zh-CN"/>
        </w:rPr>
        <w:t>8</w:t>
      </w:r>
      <w:r>
        <w:rPr>
          <w:rFonts w:hint="eastAsia" w:ascii="仿宋_GB2312" w:hAnsi="仿宋"/>
          <w:color w:val="auto"/>
          <w:sz w:val="32"/>
          <w:szCs w:val="32"/>
          <w:highlight w:val="none"/>
          <w:lang w:val="en-US" w:eastAsia="zh-CN"/>
        </w:rPr>
        <w:t>7.78</w:t>
      </w:r>
      <w:r>
        <w:rPr>
          <w:rFonts w:hint="eastAsia" w:ascii="仿宋_GB2312" w:hAnsi="仿宋"/>
          <w:color w:val="auto"/>
          <w:sz w:val="32"/>
          <w:szCs w:val="32"/>
          <w:highlight w:val="none"/>
        </w:rPr>
        <w:t>%。评分见表</w:t>
      </w:r>
      <w:r>
        <w:rPr>
          <w:rFonts w:hint="eastAsia" w:ascii="仿宋_GB2312" w:hAnsi="仿宋"/>
          <w:color w:val="auto"/>
          <w:sz w:val="32"/>
          <w:szCs w:val="32"/>
          <w:highlight w:val="none"/>
          <w:lang w:val="en-US" w:eastAsia="zh-CN"/>
        </w:rPr>
        <w:t>9</w:t>
      </w:r>
      <w:r>
        <w:rPr>
          <w:rFonts w:hint="eastAsia" w:ascii="仿宋_GB2312" w:hAnsi="仿宋"/>
          <w:color w:val="auto"/>
          <w:sz w:val="32"/>
          <w:szCs w:val="32"/>
          <w:highlight w:val="none"/>
        </w:rPr>
        <w:t>。</w:t>
      </w:r>
    </w:p>
    <w:p>
      <w:pPr>
        <w:adjustRightInd w:val="0"/>
        <w:snapToGrid w:val="0"/>
        <w:spacing w:line="360" w:lineRule="auto"/>
        <w:jc w:val="center"/>
        <w:rPr>
          <w:color w:val="auto"/>
          <w:sz w:val="28"/>
          <w:szCs w:val="28"/>
          <w:highlight w:val="none"/>
        </w:rPr>
      </w:pPr>
      <w:r>
        <w:rPr>
          <w:rFonts w:hint="eastAsia" w:ascii="黑体" w:hAnsi="黑体" w:eastAsia="黑体"/>
          <w:color w:val="auto"/>
          <w:sz w:val="28"/>
          <w:szCs w:val="28"/>
          <w:highlight w:val="none"/>
        </w:rPr>
        <w:t>表</w:t>
      </w:r>
      <w:r>
        <w:rPr>
          <w:rFonts w:hint="eastAsia" w:ascii="黑体" w:hAnsi="黑体" w:eastAsia="黑体"/>
          <w:color w:val="auto"/>
          <w:sz w:val="28"/>
          <w:szCs w:val="28"/>
          <w:highlight w:val="none"/>
          <w:lang w:val="en-US" w:eastAsia="zh-CN"/>
        </w:rPr>
        <w:t>9</w:t>
      </w:r>
      <w:r>
        <w:rPr>
          <w:rFonts w:hint="eastAsia" w:ascii="黑体" w:hAnsi="黑体" w:eastAsia="黑体"/>
          <w:color w:val="auto"/>
          <w:sz w:val="28"/>
          <w:szCs w:val="28"/>
          <w:highlight w:val="none"/>
        </w:rPr>
        <w:t>：产出指标设定及评分情况表</w:t>
      </w:r>
    </w:p>
    <w:tbl>
      <w:tblPr>
        <w:tblStyle w:val="1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07"/>
        <w:gridCol w:w="1736"/>
        <w:gridCol w:w="3251"/>
        <w:gridCol w:w="1310"/>
        <w:gridCol w:w="1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832"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一级指标</w:t>
            </w:r>
          </w:p>
        </w:tc>
        <w:tc>
          <w:tcPr>
            <w:tcW w:w="958"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三级指标</w:t>
            </w: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三级指标</w:t>
            </w:r>
          </w:p>
        </w:tc>
        <w:tc>
          <w:tcPr>
            <w:tcW w:w="723"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分值</w:t>
            </w:r>
          </w:p>
        </w:tc>
        <w:tc>
          <w:tcPr>
            <w:tcW w:w="69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restart"/>
            <w:tcBorders>
              <w:top w:val="nil"/>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产出</w:t>
            </w:r>
          </w:p>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（36分）</w:t>
            </w:r>
          </w:p>
        </w:tc>
        <w:tc>
          <w:tcPr>
            <w:tcW w:w="958" w:type="pct"/>
            <w:vMerge w:val="restart"/>
            <w:tcBorders>
              <w:top w:val="single" w:color="auto" w:sz="4" w:space="0"/>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产出数量</w:t>
            </w: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建设项目完成率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6</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3.60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58" w:type="pct"/>
            <w:vMerge w:val="continue"/>
            <w:tcBorders>
              <w:left w:val="nil"/>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textAlignment w:val="center"/>
              <w:rPr>
                <w:rFonts w:ascii="宋体" w:hAnsi="宋体" w:eastAsia="宋体"/>
                <w:color w:val="auto"/>
                <w:sz w:val="20"/>
                <w:szCs w:val="20"/>
                <w:highlight w:val="none"/>
              </w:rPr>
            </w:pP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运行维护完成率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58" w:type="pct"/>
            <w:vMerge w:val="continue"/>
            <w:tcBorders>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sz w:val="20"/>
                <w:szCs w:val="20"/>
                <w:highlight w:val="none"/>
              </w:rPr>
            </w:pP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专项监管及其他完成率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4</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58" w:type="pct"/>
            <w:vMerge w:val="restart"/>
            <w:tcBorders>
              <w:top w:val="single" w:color="auto" w:sz="4" w:space="0"/>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sz w:val="20"/>
                <w:szCs w:val="20"/>
                <w:highlight w:val="none"/>
              </w:rPr>
            </w:pPr>
            <w:r>
              <w:rPr>
                <w:rFonts w:hint="eastAsia" w:ascii="宋体" w:hAnsi="宋体" w:eastAsia="宋体"/>
                <w:color w:val="auto"/>
                <w:sz w:val="20"/>
                <w:szCs w:val="20"/>
                <w:highlight w:val="none"/>
              </w:rPr>
              <w:t>产出质量</w:t>
            </w: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建设项目质量达标率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4</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58"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sz w:val="20"/>
                <w:szCs w:val="20"/>
                <w:highlight w:val="none"/>
              </w:rPr>
            </w:pP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运行维护质量达标率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58" w:type="pct"/>
            <w:vMerge w:val="continue"/>
            <w:tcBorders>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专项监管及其他质量达标率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6</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val="en-US" w:eastAsia="zh-CN" w:bidi="ar"/>
              </w:rPr>
              <w:t>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58" w:type="pct"/>
            <w:vMerge w:val="restart"/>
            <w:tcBorders>
              <w:top w:val="single" w:color="auto" w:sz="4" w:space="0"/>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产出时效</w:t>
            </w: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建设项目完成及时率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958"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运行维护完成及时率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958" w:type="pct"/>
            <w:vMerge w:val="continue"/>
            <w:tcBorders>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专项监管及其他及时完成率</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s="宋体"/>
                <w:color w:val="auto"/>
                <w:kern w:val="0"/>
                <w:sz w:val="20"/>
                <w:szCs w:val="20"/>
                <w:highlight w:val="none"/>
                <w:lang w:val="en-US" w:eastAsia="zh-CN" w:bidi="ar"/>
              </w:rPr>
            </w:pPr>
            <w:r>
              <w:rPr>
                <w:rFonts w:hint="eastAsia" w:ascii="宋体" w:hAnsi="宋体" w:eastAsia="宋体" w:cs="宋体"/>
                <w:color w:val="auto"/>
                <w:kern w:val="0"/>
                <w:sz w:val="20"/>
                <w:szCs w:val="20"/>
                <w:highlight w:val="none"/>
                <w:lang w:val="en-US" w:eastAsia="zh-CN"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2"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958"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产出成本</w:t>
            </w:r>
          </w:p>
        </w:tc>
        <w:tc>
          <w:tcPr>
            <w:tcW w:w="1794"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成本控制</w:t>
            </w:r>
          </w:p>
        </w:tc>
        <w:tc>
          <w:tcPr>
            <w:tcW w:w="13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125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bl>
    <w:p>
      <w:pPr>
        <w:adjustRightInd w:val="0"/>
        <w:snapToGrid w:val="0"/>
        <w:spacing w:line="360" w:lineRule="auto"/>
        <w:ind w:firstLine="640" w:firstLineChars="200"/>
        <w:rPr>
          <w:rFonts w:ascii="仿宋_GB2312" w:hAnsi="仿宋_GB2312" w:cs="仿宋_GB2312"/>
          <w:iCs/>
          <w:color w:val="auto"/>
          <w:sz w:val="32"/>
          <w:szCs w:val="32"/>
          <w:highlight w:val="none"/>
        </w:rPr>
      </w:pP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24" w:name="_Toc4958"/>
      <w:bookmarkStart w:id="125" w:name="_Toc792"/>
      <w:bookmarkStart w:id="126" w:name="_Toc28550"/>
      <w:r>
        <w:rPr>
          <w:rFonts w:hint="eastAsia" w:ascii="仿宋_GB2312" w:hAnsi="仿宋_GB2312" w:cs="仿宋_GB2312"/>
          <w:iCs/>
          <w:color w:val="auto"/>
          <w:sz w:val="32"/>
          <w:szCs w:val="32"/>
          <w:highlight w:val="none"/>
        </w:rPr>
        <w:t>1.产出数量</w:t>
      </w:r>
      <w:bookmarkEnd w:id="124"/>
      <w:bookmarkEnd w:id="125"/>
      <w:bookmarkEnd w:id="126"/>
    </w:p>
    <w:p>
      <w:pPr>
        <w:adjustRightInd w:val="0"/>
        <w:snapToGrid w:val="0"/>
        <w:spacing w:line="360" w:lineRule="auto"/>
        <w:ind w:firstLine="643" w:firstLineChars="200"/>
        <w:rPr>
          <w:rFonts w:hint="eastAsia" w:ascii="仿宋_GB2312" w:hAnsi="仿宋_GB2312" w:cs="仿宋_GB2312"/>
          <w:color w:val="auto"/>
          <w:sz w:val="32"/>
          <w:szCs w:val="32"/>
          <w:highlight w:val="none"/>
          <w:lang w:val="en-US" w:eastAsia="zh-CN"/>
        </w:rPr>
      </w:pPr>
      <w:r>
        <w:rPr>
          <w:rFonts w:hint="eastAsia" w:ascii="仿宋_GB2312" w:hAnsi="仿宋_GB2312" w:cs="仿宋_GB2312"/>
          <w:b/>
          <w:bCs/>
          <w:color w:val="auto"/>
          <w:sz w:val="32"/>
          <w:szCs w:val="32"/>
          <w:highlight w:val="none"/>
        </w:rPr>
        <w:t>建设项目方面。</w:t>
      </w:r>
      <w:r>
        <w:rPr>
          <w:rFonts w:hint="eastAsia" w:ascii="仿宋_GB2312" w:hAnsi="仿宋_GB2312" w:cs="仿宋_GB2312"/>
          <w:b w:val="0"/>
          <w:bCs w:val="0"/>
          <w:color w:val="auto"/>
          <w:sz w:val="32"/>
          <w:szCs w:val="32"/>
          <w:highlight w:val="none"/>
          <w:lang w:val="en-US" w:eastAsia="zh-CN"/>
        </w:rPr>
        <w:t>需在2023年完成的建设项目共10个，其中拟在2023年完成的2022年建设项目6个，2023年度</w:t>
      </w:r>
      <w:r>
        <w:rPr>
          <w:rFonts w:hint="eastAsia" w:ascii="仿宋_GB2312" w:hAnsi="仿宋_GB2312" w:cs="仿宋_GB2312"/>
          <w:color w:val="auto"/>
          <w:sz w:val="32"/>
          <w:szCs w:val="32"/>
          <w:highlight w:val="none"/>
        </w:rPr>
        <w:t>建设项目包含</w:t>
      </w:r>
      <w:r>
        <w:rPr>
          <w:rFonts w:hint="eastAsia" w:ascii="仿宋_GB2312" w:hAnsi="仿宋_GB2312" w:cs="仿宋_GB2312"/>
          <w:color w:val="auto"/>
          <w:sz w:val="32"/>
          <w:szCs w:val="32"/>
          <w:highlight w:val="none"/>
          <w:lang w:val="en-US" w:eastAsia="zh-CN"/>
        </w:rPr>
        <w:t>4</w:t>
      </w:r>
      <w:r>
        <w:rPr>
          <w:rFonts w:hint="eastAsia" w:ascii="仿宋_GB2312" w:hAnsi="仿宋_GB2312" w:cs="仿宋_GB2312"/>
          <w:color w:val="auto"/>
          <w:sz w:val="32"/>
          <w:szCs w:val="32"/>
          <w:highlight w:val="none"/>
        </w:rPr>
        <w:t>个子项目</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截至202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年12月底，</w:t>
      </w:r>
      <w:r>
        <w:rPr>
          <w:rFonts w:hint="eastAsia" w:ascii="仿宋_GB2312" w:hAnsi="仿宋_GB2312" w:cs="仿宋_GB2312"/>
          <w:color w:val="auto"/>
          <w:sz w:val="32"/>
          <w:szCs w:val="32"/>
          <w:highlight w:val="none"/>
          <w:lang w:val="en-US" w:eastAsia="zh-CN"/>
        </w:rPr>
        <w:t>机动式无线电监测技术能力提升项目、固定监测站升级改造项目、无线电管理网络信息安全防护能力提升项目等6个2022年度建设项目已完成，具体完成情况为：</w:t>
      </w:r>
      <w:r>
        <w:rPr>
          <w:rFonts w:hint="eastAsia" w:ascii="仿宋_GB2312" w:hAnsi="仿宋_GB2312" w:cs="仿宋_GB2312"/>
          <w:b/>
          <w:bCs/>
          <w:color w:val="auto"/>
          <w:sz w:val="32"/>
          <w:szCs w:val="32"/>
          <w:highlight w:val="none"/>
          <w:lang w:val="en-US" w:eastAsia="zh-CN"/>
        </w:rPr>
        <w:t>机动式无线电监测技术能力提升项目</w:t>
      </w:r>
      <w:r>
        <w:rPr>
          <w:rFonts w:hint="eastAsia" w:ascii="仿宋_GB2312" w:hAnsi="仿宋_GB2312" w:cs="仿宋_GB2312"/>
          <w:b w:val="0"/>
          <w:bCs w:val="0"/>
          <w:color w:val="auto"/>
          <w:sz w:val="32"/>
          <w:szCs w:val="32"/>
          <w:highlight w:val="none"/>
          <w:lang w:val="en-US" w:eastAsia="zh-CN"/>
        </w:rPr>
        <w:t>完成1套具备Ka波段监测功能的一类移动监测站、1套短波移动监测站以及1套二类可搬移监测站的购置安装工作；</w:t>
      </w:r>
      <w:r>
        <w:rPr>
          <w:rFonts w:hint="eastAsia" w:ascii="仿宋_GB2312" w:hAnsi="仿宋_GB2312" w:cs="仿宋_GB2312"/>
          <w:b/>
          <w:bCs/>
          <w:color w:val="auto"/>
          <w:sz w:val="32"/>
          <w:szCs w:val="32"/>
          <w:highlight w:val="none"/>
          <w:lang w:val="en-US" w:eastAsia="zh-CN"/>
        </w:rPr>
        <w:t>固定监测站升级改造项目</w:t>
      </w:r>
      <w:r>
        <w:rPr>
          <w:rFonts w:hint="eastAsia" w:ascii="仿宋_GB2312" w:hAnsi="仿宋_GB2312" w:cs="仿宋_GB2312"/>
          <w:color w:val="auto"/>
          <w:sz w:val="32"/>
          <w:szCs w:val="32"/>
          <w:highlight w:val="none"/>
          <w:lang w:val="en-US" w:eastAsia="zh-CN"/>
        </w:rPr>
        <w:t>完成密云和良乡2个监测分站的站点、设备升级改造，扩大了改造分站的监测覆盖范围；</w:t>
      </w:r>
      <w:r>
        <w:rPr>
          <w:rFonts w:hint="eastAsia" w:ascii="仿宋_GB2312" w:hAnsi="仿宋_GB2312" w:cs="仿宋_GB2312"/>
          <w:b/>
          <w:bCs/>
          <w:color w:val="auto"/>
          <w:sz w:val="32"/>
          <w:szCs w:val="32"/>
          <w:highlight w:val="none"/>
          <w:lang w:val="en-US" w:eastAsia="zh-CN"/>
        </w:rPr>
        <w:t>北京市无线电管理一体化二期建设项目</w:t>
      </w:r>
      <w:r>
        <w:rPr>
          <w:rFonts w:hint="eastAsia" w:ascii="仿宋_GB2312" w:hAnsi="仿宋_GB2312" w:cs="仿宋_GB2312"/>
          <w:color w:val="auto"/>
          <w:sz w:val="32"/>
          <w:szCs w:val="32"/>
          <w:highlight w:val="none"/>
          <w:lang w:val="en-US" w:eastAsia="zh-CN"/>
        </w:rPr>
        <w:t>完成了监测数据自动化采集系统、现场无线电管理行政执法系统、无线电管理基础技术设施建设项目管理系统、无线电频率台站管理系统4套业务系统的建设和适应性升级改造工作，并完成已建业务系统的应用集成；</w:t>
      </w:r>
      <w:r>
        <w:rPr>
          <w:rFonts w:hint="eastAsia" w:ascii="仿宋_GB2312" w:hAnsi="仿宋_GB2312" w:cs="仿宋_GB2312"/>
          <w:b/>
          <w:bCs/>
          <w:color w:val="auto"/>
          <w:sz w:val="32"/>
          <w:szCs w:val="32"/>
          <w:highlight w:val="none"/>
          <w:lang w:val="en-US" w:eastAsia="zh-CN"/>
        </w:rPr>
        <w:t>无线电管理网络信息安全防护能力提升项目</w:t>
      </w:r>
      <w:r>
        <w:rPr>
          <w:rFonts w:hint="eastAsia" w:ascii="仿宋_GB2312" w:hAnsi="仿宋_GB2312" w:cs="仿宋_GB2312"/>
          <w:color w:val="auto"/>
          <w:sz w:val="32"/>
          <w:szCs w:val="32"/>
          <w:highlight w:val="none"/>
          <w:lang w:val="en-US" w:eastAsia="zh-CN"/>
        </w:rPr>
        <w:t>完成了无线电管理一体化平台系统的差距统计分析工作、编制了无线电监测站《网络安全方针和策略》《网络安全制度文件控制管理规定》等23份网络信息安全管理制度和《北京市无线电监测站-信息系统应急预案》，形成了l套网络安全综合技术防护体系；</w:t>
      </w:r>
      <w:r>
        <w:rPr>
          <w:rFonts w:hint="eastAsia" w:ascii="仿宋_GB2312" w:hAnsi="仿宋_GB2312" w:cs="仿宋_GB2312"/>
          <w:b/>
          <w:bCs/>
          <w:color w:val="auto"/>
          <w:sz w:val="32"/>
          <w:szCs w:val="32"/>
          <w:highlight w:val="none"/>
          <w:lang w:val="en-US" w:eastAsia="zh-CN"/>
        </w:rPr>
        <w:t>北京市智能化移动众包监测项目（一期）</w:t>
      </w:r>
      <w:r>
        <w:rPr>
          <w:rFonts w:hint="eastAsia" w:ascii="仿宋_GB2312" w:hAnsi="仿宋_GB2312" w:cs="仿宋_GB2312"/>
          <w:color w:val="auto"/>
          <w:sz w:val="32"/>
          <w:szCs w:val="32"/>
          <w:highlight w:val="none"/>
          <w:lang w:val="en-US" w:eastAsia="zh-CN"/>
        </w:rPr>
        <w:t>完成了12套众包智能化移动监测节点的配置工作；</w:t>
      </w:r>
      <w:r>
        <w:rPr>
          <w:rFonts w:hint="eastAsia" w:ascii="仿宋_GB2312" w:hAnsi="仿宋_GB2312" w:cs="仿宋_GB2312"/>
          <w:b/>
          <w:bCs/>
          <w:color w:val="auto"/>
          <w:sz w:val="32"/>
          <w:szCs w:val="32"/>
          <w:highlight w:val="none"/>
          <w:lang w:val="en-US" w:eastAsia="zh-CN"/>
        </w:rPr>
        <w:t>基于电波反射无人机监测系统建设项目</w:t>
      </w:r>
      <w:r>
        <w:rPr>
          <w:rFonts w:hint="eastAsia" w:ascii="仿宋_GB2312" w:hAnsi="仿宋_GB2312" w:cs="仿宋_GB2312"/>
          <w:color w:val="auto"/>
          <w:sz w:val="32"/>
          <w:szCs w:val="32"/>
          <w:highlight w:val="none"/>
          <w:lang w:val="en-US" w:eastAsia="zh-CN"/>
        </w:rPr>
        <w:t>建设完成1套基于反射波原理的无人机侦测系统。</w:t>
      </w:r>
    </w:p>
    <w:p>
      <w:pPr>
        <w:adjustRightInd w:val="0"/>
        <w:snapToGrid w:val="0"/>
        <w:spacing w:line="360" w:lineRule="auto"/>
        <w:ind w:firstLine="640" w:firstLineChars="200"/>
        <w:rPr>
          <w:rFonts w:hint="default" w:ascii="仿宋_GB2312" w:hAnsi="仿宋_GB2312" w:eastAsia="仿宋_GB2312" w:cs="仿宋_GB2312"/>
          <w:color w:val="auto"/>
          <w:sz w:val="32"/>
          <w:szCs w:val="32"/>
          <w:highlight w:val="none"/>
          <w:lang w:val="en-US" w:eastAsia="zh-CN"/>
        </w:rPr>
      </w:pPr>
      <w:r>
        <w:rPr>
          <w:rFonts w:hint="eastAsia" w:ascii="仿宋_GB2312" w:hAnsi="仿宋_GB2312" w:cs="仿宋_GB2312"/>
          <w:color w:val="auto"/>
          <w:sz w:val="32"/>
          <w:szCs w:val="32"/>
          <w:highlight w:val="none"/>
          <w:lang w:val="en-US" w:eastAsia="zh-CN"/>
        </w:rPr>
        <w:t>4</w:t>
      </w:r>
      <w:r>
        <w:rPr>
          <w:rFonts w:hint="eastAsia" w:ascii="仿宋_GB2312" w:hAnsi="仿宋_GB2312" w:cs="仿宋_GB2312"/>
          <w:color w:val="auto"/>
          <w:sz w:val="32"/>
          <w:szCs w:val="32"/>
          <w:highlight w:val="none"/>
        </w:rPr>
        <w:t>个</w:t>
      </w:r>
      <w:r>
        <w:rPr>
          <w:rFonts w:hint="eastAsia" w:ascii="仿宋_GB2312" w:hAnsi="仿宋_GB2312" w:cs="仿宋_GB2312"/>
          <w:color w:val="auto"/>
          <w:sz w:val="32"/>
          <w:szCs w:val="32"/>
          <w:highlight w:val="none"/>
          <w:lang w:val="en-US" w:eastAsia="zh-CN"/>
        </w:rPr>
        <w:t>2023年建设</w:t>
      </w:r>
      <w:r>
        <w:rPr>
          <w:rFonts w:hint="eastAsia" w:ascii="仿宋_GB2312" w:hAnsi="仿宋_GB2312" w:cs="仿宋_GB2312"/>
          <w:color w:val="auto"/>
          <w:sz w:val="32"/>
          <w:szCs w:val="32"/>
          <w:highlight w:val="none"/>
        </w:rPr>
        <w:t>项目均未完成，具体</w:t>
      </w:r>
      <w:r>
        <w:rPr>
          <w:rFonts w:hint="eastAsia" w:ascii="仿宋_GB2312" w:hAnsi="仿宋_GB2312" w:cs="仿宋_GB2312"/>
          <w:color w:val="auto"/>
          <w:sz w:val="32"/>
          <w:szCs w:val="32"/>
          <w:highlight w:val="none"/>
          <w:lang w:val="en-US" w:eastAsia="zh-CN"/>
        </w:rPr>
        <w:t>完成情况</w:t>
      </w:r>
      <w:r>
        <w:rPr>
          <w:rFonts w:hint="eastAsia" w:ascii="仿宋_GB2312" w:hAnsi="仿宋_GB2312" w:cs="仿宋_GB2312"/>
          <w:color w:val="auto"/>
          <w:sz w:val="32"/>
          <w:szCs w:val="32"/>
          <w:highlight w:val="none"/>
        </w:rPr>
        <w:t>为：</w:t>
      </w:r>
      <w:r>
        <w:rPr>
          <w:rFonts w:hint="eastAsia" w:ascii="仿宋_GB2312" w:hAnsi="仿宋_GB2312" w:cs="仿宋_GB2312"/>
          <w:b/>
          <w:color w:val="auto"/>
          <w:sz w:val="32"/>
          <w:szCs w:val="32"/>
          <w:highlight w:val="none"/>
        </w:rPr>
        <w:t>无线电监测数据资源池融合分析项目</w:t>
      </w:r>
      <w:r>
        <w:rPr>
          <w:rFonts w:hint="eastAsia" w:ascii="仿宋_GB2312" w:hAnsi="仿宋_GB2312" w:cs="仿宋_GB2312"/>
          <w:color w:val="auto"/>
          <w:sz w:val="32"/>
          <w:szCs w:val="32"/>
          <w:highlight w:val="none"/>
        </w:rPr>
        <w:t>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年12月完成公开招投标及合同签订，编制</w:t>
      </w:r>
      <w:r>
        <w:rPr>
          <w:rFonts w:hint="eastAsia" w:ascii="仿宋_GB2312" w:hAnsi="Calibri"/>
          <w:color w:val="auto"/>
          <w:sz w:val="32"/>
          <w:szCs w:val="32"/>
          <w:highlight w:val="none"/>
        </w:rPr>
        <w:t>《无线电监测数据资源池融合分析项目</w:t>
      </w:r>
      <w:r>
        <w:rPr>
          <w:rFonts w:hint="eastAsia" w:ascii="仿宋_GB2312" w:hAnsi="Calibri"/>
          <w:color w:val="auto"/>
          <w:sz w:val="32"/>
          <w:szCs w:val="32"/>
          <w:highlight w:val="none"/>
          <w:lang w:eastAsia="zh-CN"/>
        </w:rPr>
        <w:t>－</w:t>
      </w:r>
      <w:r>
        <w:rPr>
          <w:rFonts w:hint="eastAsia" w:ascii="仿宋_GB2312" w:hAnsi="Calibri"/>
          <w:color w:val="auto"/>
          <w:sz w:val="32"/>
          <w:szCs w:val="32"/>
          <w:highlight w:val="none"/>
        </w:rPr>
        <w:t>实施方案V0.11版》</w:t>
      </w:r>
      <w:r>
        <w:rPr>
          <w:rFonts w:hint="eastAsia" w:ascii="仿宋_GB2312" w:hAnsi="Calibri"/>
          <w:color w:val="auto"/>
          <w:sz w:val="32"/>
          <w:szCs w:val="32"/>
          <w:highlight w:val="none"/>
          <w:lang w:val="en-US" w:eastAsia="zh-CN"/>
        </w:rPr>
        <w:t>和《初步设计说明-无线电监测数据资源池融合分析项目-V1.1》，</w:t>
      </w:r>
      <w:r>
        <w:rPr>
          <w:rFonts w:hint="eastAsia"/>
          <w:color w:val="auto"/>
          <w:sz w:val="32"/>
          <w:szCs w:val="28"/>
          <w:highlight w:val="none"/>
          <w:lang w:val="en-US" w:eastAsia="zh-CN"/>
        </w:rPr>
        <w:t>目前已完成5套信号采集设备的生产和分析系统安装环境的考察</w:t>
      </w:r>
      <w:r>
        <w:rPr>
          <w:rFonts w:hint="eastAsia" w:ascii="仿宋_GB2312" w:hAnsi="仿宋_GB2312" w:cs="仿宋_GB2312"/>
          <w:color w:val="auto"/>
          <w:sz w:val="32"/>
          <w:szCs w:val="32"/>
          <w:highlight w:val="none"/>
        </w:rPr>
        <w:t>，</w:t>
      </w:r>
      <w:r>
        <w:rPr>
          <w:rFonts w:hint="eastAsia" w:ascii="仿宋_GB2312" w:hAnsi="仿宋_GB2312" w:cs="仿宋_GB2312"/>
          <w:color w:val="auto"/>
          <w:sz w:val="32"/>
          <w:szCs w:val="32"/>
          <w:highlight w:val="none"/>
          <w:lang w:val="en-US" w:eastAsia="zh-CN"/>
        </w:rPr>
        <w:t>其他</w:t>
      </w:r>
      <w:r>
        <w:rPr>
          <w:rFonts w:hint="eastAsia" w:ascii="仿宋_GB2312" w:hAnsi="仿宋_GB2312" w:cs="仿宋_GB2312"/>
          <w:color w:val="auto"/>
          <w:sz w:val="32"/>
          <w:szCs w:val="32"/>
          <w:highlight w:val="none"/>
        </w:rPr>
        <w:t>相关工作</w:t>
      </w:r>
      <w:r>
        <w:rPr>
          <w:rFonts w:hint="eastAsia" w:ascii="仿宋_GB2312" w:hAnsi="仿宋_GB2312" w:cs="仿宋_GB2312"/>
          <w:color w:val="auto"/>
          <w:sz w:val="32"/>
          <w:szCs w:val="32"/>
          <w:highlight w:val="none"/>
          <w:lang w:val="en-US" w:eastAsia="zh-CN"/>
        </w:rPr>
        <w:t>正在序时开展</w:t>
      </w:r>
      <w:r>
        <w:rPr>
          <w:rFonts w:hint="eastAsia" w:ascii="仿宋_GB2312" w:hAnsi="仿宋_GB2312" w:cs="仿宋_GB2312"/>
          <w:color w:val="auto"/>
          <w:sz w:val="32"/>
          <w:szCs w:val="32"/>
          <w:highlight w:val="none"/>
        </w:rPr>
        <w:t>；</w:t>
      </w:r>
      <w:r>
        <w:rPr>
          <w:rFonts w:hint="eastAsia" w:ascii="仿宋_GB2312" w:hAnsi="仿宋_GB2312" w:cs="仿宋_GB2312"/>
          <w:b/>
          <w:color w:val="auto"/>
          <w:sz w:val="32"/>
          <w:szCs w:val="32"/>
          <w:highlight w:val="none"/>
        </w:rPr>
        <w:t>频谱资源动态分析与决策支撑项目</w:t>
      </w:r>
      <w:r>
        <w:rPr>
          <w:rFonts w:hint="eastAsia" w:ascii="仿宋_GB2312" w:hAnsi="仿宋_GB2312" w:cs="仿宋_GB2312"/>
          <w:color w:val="auto"/>
          <w:sz w:val="32"/>
          <w:szCs w:val="32"/>
          <w:highlight w:val="none"/>
        </w:rPr>
        <w:t>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年12月完成公开招投标及合同签订</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编制《频谱资源动态分析与决策支撑项目－实施方案》</w:t>
      </w:r>
      <w:r>
        <w:rPr>
          <w:rFonts w:hint="eastAsia" w:ascii="仿宋_GB2312" w:hAnsi="仿宋_GB2312" w:cs="仿宋_GB2312"/>
          <w:color w:val="auto"/>
          <w:sz w:val="32"/>
          <w:szCs w:val="32"/>
          <w:highlight w:val="none"/>
        </w:rPr>
        <w:t>，正在序时开展相关工作；</w:t>
      </w:r>
      <w:r>
        <w:rPr>
          <w:rFonts w:hint="eastAsia" w:ascii="仿宋_GB2312" w:hAnsi="仿宋_GB2312" w:cs="仿宋_GB2312"/>
          <w:b/>
          <w:color w:val="auto"/>
          <w:sz w:val="32"/>
          <w:szCs w:val="32"/>
          <w:highlight w:val="none"/>
        </w:rPr>
        <w:t>固定监测站覆盖能力提升项目</w:t>
      </w:r>
      <w:r>
        <w:rPr>
          <w:rFonts w:hint="eastAsia" w:ascii="仿宋_GB2312" w:hAnsi="仿宋_GB2312" w:cs="仿宋_GB2312"/>
          <w:b w:val="0"/>
          <w:bCs/>
          <w:color w:val="auto"/>
          <w:sz w:val="32"/>
          <w:szCs w:val="32"/>
          <w:highlight w:val="none"/>
          <w:lang w:val="en-US" w:eastAsia="zh-CN"/>
        </w:rPr>
        <w:t>于</w:t>
      </w:r>
      <w:r>
        <w:rPr>
          <w:rFonts w:hint="eastAsia" w:ascii="仿宋_GB2312" w:hAnsi="仿宋_GB2312" w:cs="仿宋_GB2312"/>
          <w:b w:val="0"/>
          <w:bCs/>
          <w:color w:val="auto"/>
          <w:sz w:val="32"/>
          <w:szCs w:val="32"/>
          <w:highlight w:val="none"/>
        </w:rPr>
        <w:t>2</w:t>
      </w:r>
      <w:r>
        <w:rPr>
          <w:rFonts w:hint="eastAsia" w:ascii="仿宋_GB2312" w:hAnsi="仿宋_GB2312" w:cs="仿宋_GB2312"/>
          <w:color w:val="auto"/>
          <w:sz w:val="32"/>
          <w:szCs w:val="32"/>
          <w:highlight w:val="none"/>
        </w:rPr>
        <w:t>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年12月完成公开招投标及合同签订，</w:t>
      </w:r>
      <w:r>
        <w:rPr>
          <w:rFonts w:hint="eastAsia" w:ascii="仿宋_GB2312" w:hAnsi="仿宋_GB2312" w:cs="仿宋_GB2312"/>
          <w:color w:val="auto"/>
          <w:sz w:val="32"/>
          <w:szCs w:val="32"/>
          <w:highlight w:val="none"/>
          <w:lang w:val="en-US" w:eastAsia="zh-CN"/>
        </w:rPr>
        <w:t>编制《固定监测站覆盖能力提升项目实施方案V1.2》，较2022年固定站升级改造项目增加了低段（20-450MHz）测向天线，相关工作正在</w:t>
      </w:r>
      <w:r>
        <w:rPr>
          <w:rFonts w:hint="eastAsia" w:ascii="仿宋_GB2312" w:hAnsi="仿宋_GB2312" w:cs="仿宋_GB2312"/>
          <w:color w:val="auto"/>
          <w:sz w:val="32"/>
          <w:szCs w:val="32"/>
          <w:highlight w:val="none"/>
        </w:rPr>
        <w:t>序时开展；</w:t>
      </w:r>
      <w:r>
        <w:rPr>
          <w:rFonts w:hint="eastAsia" w:ascii="仿宋_GB2312" w:hAnsi="仿宋_GB2312" w:cs="仿宋_GB2312"/>
          <w:b/>
          <w:color w:val="auto"/>
          <w:sz w:val="32"/>
          <w:szCs w:val="32"/>
          <w:highlight w:val="none"/>
        </w:rPr>
        <w:t>无线电安全保障管控能力提升项目</w:t>
      </w:r>
      <w:r>
        <w:rPr>
          <w:rFonts w:hint="eastAsia" w:ascii="仿宋_GB2312" w:hAnsi="仿宋_GB2312" w:cs="仿宋_GB2312"/>
          <w:color w:val="auto"/>
          <w:sz w:val="32"/>
          <w:szCs w:val="32"/>
          <w:highlight w:val="none"/>
        </w:rPr>
        <w:t>于202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年12月完成公开招投标及合同签订</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编制《无线电安全保障管控能力提升项目设计报告》和《无线电安全保障管控能力提升项目实施方案》</w:t>
      </w:r>
      <w:r>
        <w:rPr>
          <w:rFonts w:hint="eastAsia" w:ascii="仿宋_GB2312" w:hAnsi="仿宋_GB2312" w:cs="仿宋_GB2312"/>
          <w:color w:val="auto"/>
          <w:sz w:val="32"/>
          <w:szCs w:val="32"/>
          <w:highlight w:val="none"/>
        </w:rPr>
        <w:t>，项目按照实施计划序时开展。</w:t>
      </w:r>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bCs/>
          <w:color w:val="auto"/>
          <w:sz w:val="32"/>
          <w:szCs w:val="32"/>
          <w:highlight w:val="none"/>
        </w:rPr>
        <w:t>运行维护项目方面。</w:t>
      </w:r>
      <w:r>
        <w:rPr>
          <w:rFonts w:hint="eastAsia" w:ascii="仿宋_GB2312" w:hAnsi="仿宋_GB2312" w:cs="仿宋_GB2312"/>
          <w:color w:val="auto"/>
          <w:sz w:val="32"/>
          <w:szCs w:val="32"/>
          <w:highlight w:val="none"/>
        </w:rPr>
        <w:t>运行维护类包含</w:t>
      </w:r>
      <w:r>
        <w:rPr>
          <w:rFonts w:hint="eastAsia" w:ascii="仿宋_GB2312" w:hAnsi="仿宋_GB2312" w:cs="仿宋_GB2312"/>
          <w:color w:val="auto"/>
          <w:sz w:val="32"/>
          <w:szCs w:val="32"/>
          <w:highlight w:val="none"/>
          <w:lang w:val="en-US" w:eastAsia="zh-CN"/>
        </w:rPr>
        <w:t>5</w:t>
      </w:r>
      <w:r>
        <w:rPr>
          <w:rFonts w:hint="eastAsia" w:ascii="仿宋_GB2312" w:hAnsi="仿宋_GB2312" w:cs="仿宋_GB2312"/>
          <w:color w:val="auto"/>
          <w:sz w:val="32"/>
          <w:szCs w:val="32"/>
          <w:highlight w:val="none"/>
        </w:rPr>
        <w:t>个子项目，截至202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年12月底，</w:t>
      </w:r>
      <w:r>
        <w:rPr>
          <w:rFonts w:hint="eastAsia" w:ascii="仿宋_GB2312" w:hAnsi="仿宋_GB2312" w:cs="仿宋_GB2312"/>
          <w:color w:val="auto"/>
          <w:sz w:val="32"/>
          <w:szCs w:val="32"/>
          <w:highlight w:val="none"/>
          <w:lang w:val="en-US" w:eastAsia="zh-CN"/>
        </w:rPr>
        <w:t>5</w:t>
      </w:r>
      <w:r>
        <w:rPr>
          <w:rFonts w:hint="eastAsia" w:ascii="仿宋_GB2312" w:hAnsi="仿宋_GB2312" w:cs="仿宋_GB2312"/>
          <w:color w:val="auto"/>
          <w:sz w:val="32"/>
          <w:szCs w:val="32"/>
          <w:highlight w:val="none"/>
        </w:rPr>
        <w:t>个子项目已完成。各子项目完成情况具体为：</w:t>
      </w:r>
      <w:r>
        <w:rPr>
          <w:rFonts w:hint="eastAsia" w:ascii="仿宋_GB2312" w:hAnsi="仿宋_GB2312" w:cs="仿宋_GB2312"/>
          <w:b/>
          <w:color w:val="auto"/>
          <w:sz w:val="32"/>
          <w:szCs w:val="32"/>
          <w:highlight w:val="none"/>
        </w:rPr>
        <w:t>无线电监测专业车辆驾驶员聘用项目</w:t>
      </w:r>
      <w:r>
        <w:rPr>
          <w:rFonts w:hint="eastAsia" w:ascii="仿宋_GB2312" w:hAnsi="仿宋_GB2312" w:cs="仿宋_GB2312"/>
          <w:color w:val="auto"/>
          <w:sz w:val="32"/>
          <w:szCs w:val="32"/>
          <w:highlight w:val="none"/>
        </w:rPr>
        <w:t>外聘了4名专业车辆驾驶员，保障了日常干扰查处特种监测车、电磁环境测试车、检测业务用车、重大活动期间无线电保障任务用车等</w:t>
      </w:r>
      <w:r>
        <w:rPr>
          <w:rFonts w:hint="eastAsia" w:ascii="仿宋_GB2312" w:hAnsi="仿宋_GB2312" w:cs="仿宋_GB2312"/>
          <w:color w:val="auto"/>
          <w:sz w:val="32"/>
          <w:szCs w:val="32"/>
          <w:highlight w:val="none"/>
          <w:lang w:val="en-US" w:eastAsia="zh-CN"/>
        </w:rPr>
        <w:t>用车</w:t>
      </w:r>
      <w:r>
        <w:rPr>
          <w:rFonts w:hint="eastAsia" w:ascii="仿宋_GB2312" w:hAnsi="仿宋_GB2312" w:cs="仿宋_GB2312"/>
          <w:color w:val="auto"/>
          <w:sz w:val="32"/>
          <w:szCs w:val="32"/>
          <w:highlight w:val="none"/>
        </w:rPr>
        <w:t>需要，形成《2023年普通用车记录》</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无线电监测站公务用车统计表</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w:t>
      </w:r>
      <w:r>
        <w:rPr>
          <w:rFonts w:hint="eastAsia" w:ascii="仿宋_GB2312" w:hAnsi="仿宋_GB2312" w:cs="仿宋_GB2312"/>
          <w:b/>
          <w:color w:val="auto"/>
          <w:sz w:val="32"/>
          <w:szCs w:val="32"/>
          <w:highlight w:val="none"/>
        </w:rPr>
        <w:t>监测网设施设备维修维护费项目</w:t>
      </w:r>
      <w:r>
        <w:rPr>
          <w:rFonts w:hint="eastAsia" w:ascii="仿宋_GB2312" w:hAnsi="仿宋_GB2312" w:cs="仿宋_GB2312"/>
          <w:color w:val="auto"/>
          <w:sz w:val="32"/>
          <w:szCs w:val="32"/>
          <w:highlight w:val="none"/>
        </w:rPr>
        <w:t>完成</w:t>
      </w:r>
      <w:r>
        <w:rPr>
          <w:rFonts w:hint="eastAsia" w:ascii="仿宋_GB2312" w:hAnsi="仿宋_GB2312" w:cs="仿宋_GB2312"/>
          <w:color w:val="auto"/>
          <w:sz w:val="32"/>
          <w:szCs w:val="32"/>
          <w:highlight w:val="none"/>
          <w:lang w:val="en-US" w:eastAsia="zh-CN"/>
        </w:rPr>
        <w:t>43次侧向接收机等设施设备故障处理，开展4轮站点巡检和2轮天线塔架巡检工作，完成</w:t>
      </w:r>
      <w:r>
        <w:rPr>
          <w:rFonts w:hint="eastAsia" w:ascii="仿宋_GB2312" w:hAnsi="仿宋_GB2312" w:cs="仿宋_GB2312"/>
          <w:color w:val="auto"/>
          <w:sz w:val="32"/>
          <w:szCs w:val="32"/>
          <w:highlight w:val="none"/>
        </w:rPr>
        <w:t>31套气体消防灭火系</w:t>
      </w:r>
      <w:r>
        <w:rPr>
          <w:rFonts w:hint="eastAsia" w:ascii="仿宋_GB2312" w:hAnsi="仿宋_GB2312" w:cs="仿宋_GB2312"/>
          <w:color w:val="auto"/>
          <w:sz w:val="32"/>
          <w:szCs w:val="32"/>
          <w:highlight w:val="none"/>
          <w:lang w:val="en-US" w:eastAsia="zh-CN"/>
        </w:rPr>
        <w:t>统运维</w:t>
      </w:r>
      <w:r>
        <w:rPr>
          <w:rFonts w:hint="eastAsia" w:ascii="仿宋_GB2312" w:hAnsi="仿宋_GB2312" w:cs="仿宋_GB2312"/>
          <w:color w:val="auto"/>
          <w:sz w:val="32"/>
          <w:szCs w:val="32"/>
          <w:highlight w:val="none"/>
        </w:rPr>
        <w:t>，保障了监测分站相关设备和机房正常运转；</w:t>
      </w:r>
      <w:r>
        <w:rPr>
          <w:rFonts w:hint="eastAsia" w:ascii="仿宋_GB2312" w:hAnsi="仿宋_GB2312" w:cs="仿宋_GB2312"/>
          <w:b/>
          <w:color w:val="auto"/>
          <w:sz w:val="32"/>
          <w:szCs w:val="32"/>
          <w:highlight w:val="none"/>
        </w:rPr>
        <w:t>网络租用费项目</w:t>
      </w:r>
      <w:r>
        <w:rPr>
          <w:rFonts w:hint="eastAsia" w:ascii="仿宋_GB2312" w:hAnsi="仿宋_GB2312" w:cs="仿宋_GB2312"/>
          <w:b w:val="0"/>
          <w:bCs/>
          <w:color w:val="auto"/>
          <w:sz w:val="32"/>
          <w:szCs w:val="32"/>
          <w:highlight w:val="none"/>
          <w:lang w:val="en-US" w:eastAsia="zh-CN"/>
        </w:rPr>
        <w:t>完成</w:t>
      </w:r>
      <w:r>
        <w:rPr>
          <w:rFonts w:hint="eastAsia" w:ascii="仿宋_GB2312" w:hAnsi="仿宋_GB2312" w:cs="仿宋_GB2312"/>
          <w:color w:val="auto"/>
          <w:sz w:val="32"/>
          <w:szCs w:val="32"/>
          <w:highlight w:val="none"/>
          <w:lang w:val="en-US" w:eastAsia="zh-CN"/>
        </w:rPr>
        <w:t>33条</w:t>
      </w:r>
      <w:r>
        <w:rPr>
          <w:rFonts w:hint="eastAsia" w:ascii="仿宋_GB2312" w:hAnsi="仿宋_GB2312" w:cs="仿宋_GB2312"/>
          <w:color w:val="auto"/>
          <w:sz w:val="32"/>
          <w:szCs w:val="32"/>
          <w:highlight w:val="none"/>
        </w:rPr>
        <w:t>固定监测分站专线带宽</w:t>
      </w:r>
      <w:r>
        <w:rPr>
          <w:rFonts w:hint="eastAsia" w:ascii="仿宋_GB2312" w:hAnsi="仿宋_GB2312" w:cs="仿宋_GB2312"/>
          <w:color w:val="auto"/>
          <w:sz w:val="32"/>
          <w:szCs w:val="32"/>
          <w:highlight w:val="none"/>
          <w:lang w:val="en-US" w:eastAsia="zh-CN"/>
        </w:rPr>
        <w:t>租赁</w:t>
      </w:r>
      <w:r>
        <w:rPr>
          <w:rFonts w:hint="eastAsia" w:ascii="仿宋_GB2312" w:hAnsi="仿宋_GB2312" w:cs="仿宋_GB2312"/>
          <w:color w:val="auto"/>
          <w:sz w:val="32"/>
          <w:szCs w:val="32"/>
          <w:highlight w:val="none"/>
        </w:rPr>
        <w:t>，保障了监测站网络运行；</w:t>
      </w:r>
      <w:r>
        <w:rPr>
          <w:rFonts w:hint="eastAsia" w:ascii="仿宋_GB2312" w:hAnsi="仿宋_GB2312" w:cs="仿宋_GB2312"/>
          <w:b/>
          <w:color w:val="auto"/>
          <w:sz w:val="32"/>
          <w:szCs w:val="32"/>
          <w:highlight w:val="none"/>
        </w:rPr>
        <w:t>固定监测站机房租赁及铁塔占地费项目</w:t>
      </w:r>
      <w:r>
        <w:rPr>
          <w:rFonts w:hint="eastAsia" w:ascii="仿宋_GB2312" w:hAnsi="仿宋_GB2312" w:cs="仿宋_GB2312"/>
          <w:color w:val="auto"/>
          <w:sz w:val="32"/>
          <w:szCs w:val="32"/>
          <w:highlight w:val="none"/>
        </w:rPr>
        <w:t>及时支付33个固定监测分站房屋租赁及物业管理和35座铁塔等相关占地费用，保障了监测网正常运转；</w:t>
      </w:r>
      <w:r>
        <w:rPr>
          <w:rFonts w:hint="eastAsia" w:ascii="仿宋_GB2312" w:hAnsi="仿宋_GB2312" w:cs="仿宋_GB2312"/>
          <w:b/>
          <w:color w:val="auto"/>
          <w:sz w:val="32"/>
          <w:szCs w:val="32"/>
          <w:highlight w:val="none"/>
        </w:rPr>
        <w:t>在用无线电监测设施测试验证服务项目</w:t>
      </w:r>
      <w:r>
        <w:rPr>
          <w:rFonts w:hint="eastAsia" w:ascii="仿宋_GB2312" w:hAnsi="仿宋_GB2312" w:cs="仿宋_GB2312"/>
          <w:b w:val="0"/>
          <w:bCs/>
          <w:color w:val="auto"/>
          <w:sz w:val="32"/>
          <w:szCs w:val="32"/>
          <w:highlight w:val="none"/>
          <w:lang w:val="en-US" w:eastAsia="zh-CN"/>
        </w:rPr>
        <w:t>完成相关测试验证工作，出具了</w:t>
      </w:r>
      <w:r>
        <w:rPr>
          <w:rFonts w:hint="eastAsia" w:ascii="仿宋_GB2312" w:hAnsi="仿宋_GB2312" w:cs="仿宋_GB2312"/>
          <w:b w:val="0"/>
          <w:bCs/>
          <w:color w:val="auto"/>
          <w:sz w:val="32"/>
          <w:szCs w:val="32"/>
          <w:highlight w:val="none"/>
        </w:rPr>
        <w:t>3</w:t>
      </w:r>
      <w:r>
        <w:rPr>
          <w:rFonts w:hint="eastAsia" w:ascii="仿宋_GB2312" w:hAnsi="仿宋_GB2312" w:cs="仿宋_GB2312"/>
          <w:color w:val="auto"/>
          <w:sz w:val="32"/>
          <w:szCs w:val="32"/>
          <w:highlight w:val="none"/>
          <w:lang w:val="en-US" w:eastAsia="zh-CN"/>
        </w:rPr>
        <w:t>份</w:t>
      </w:r>
      <w:r>
        <w:rPr>
          <w:rFonts w:hint="eastAsia" w:ascii="仿宋_GB2312" w:hAnsi="仿宋_GB2312" w:cs="仿宋_GB2312"/>
          <w:color w:val="auto"/>
          <w:sz w:val="32"/>
          <w:szCs w:val="32"/>
          <w:highlight w:val="none"/>
        </w:rPr>
        <w:t>监测接收机</w:t>
      </w:r>
      <w:r>
        <w:rPr>
          <w:rFonts w:hint="eastAsia" w:ascii="仿宋_GB2312" w:hAnsi="仿宋_GB2312" w:cs="仿宋_GB2312"/>
          <w:color w:val="auto"/>
          <w:sz w:val="32"/>
          <w:szCs w:val="32"/>
          <w:highlight w:val="none"/>
          <w:lang w:val="en-US" w:eastAsia="zh-CN"/>
        </w:rPr>
        <w:t>检测报告</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4份无线电监测测向系统检测报告、1份无线电管理技术设施报废测试评估报告、2份门头沟和张山营监测站覆盖范围评估报告</w:t>
      </w:r>
      <w:r>
        <w:rPr>
          <w:rFonts w:hint="eastAsia" w:ascii="仿宋_GB2312" w:hAnsi="仿宋_GB2312" w:cs="仿宋_GB2312"/>
          <w:color w:val="auto"/>
          <w:sz w:val="32"/>
          <w:szCs w:val="32"/>
          <w:highlight w:val="none"/>
        </w:rPr>
        <w:t>。</w:t>
      </w:r>
    </w:p>
    <w:p>
      <w:pPr>
        <w:adjustRightInd w:val="0"/>
        <w:snapToGrid w:val="0"/>
        <w:spacing w:line="360" w:lineRule="auto"/>
        <w:ind w:firstLine="643" w:firstLineChars="200"/>
        <w:rPr>
          <w:rFonts w:hint="eastAsia" w:ascii="仿宋_GB2312" w:hAnsi="仿宋_GB2312" w:cs="仿宋_GB2312"/>
          <w:color w:val="auto"/>
          <w:sz w:val="32"/>
          <w:szCs w:val="32"/>
          <w:highlight w:val="none"/>
        </w:rPr>
      </w:pPr>
      <w:r>
        <w:rPr>
          <w:rFonts w:hint="eastAsia" w:ascii="仿宋_GB2312" w:hAnsi="仿宋_GB2312" w:cs="仿宋_GB2312"/>
          <w:b/>
          <w:bCs/>
          <w:color w:val="auto"/>
          <w:sz w:val="32"/>
          <w:szCs w:val="32"/>
          <w:highlight w:val="none"/>
        </w:rPr>
        <w:t>专项监管及其他支出项目方面。</w:t>
      </w:r>
      <w:r>
        <w:rPr>
          <w:rFonts w:hint="eastAsia" w:ascii="仿宋_GB2312" w:hAnsi="仿宋_GB2312" w:cs="仿宋_GB2312"/>
          <w:color w:val="auto"/>
          <w:sz w:val="32"/>
          <w:szCs w:val="32"/>
          <w:highlight w:val="none"/>
        </w:rPr>
        <w:t>专项监管和其他支出类包括1</w:t>
      </w:r>
      <w:r>
        <w:rPr>
          <w:rFonts w:hint="eastAsia" w:ascii="仿宋_GB2312" w:hAnsi="仿宋_GB2312" w:cs="仿宋_GB2312"/>
          <w:color w:val="auto"/>
          <w:sz w:val="32"/>
          <w:szCs w:val="32"/>
          <w:highlight w:val="none"/>
          <w:lang w:val="en-US" w:eastAsia="zh-CN"/>
        </w:rPr>
        <w:t>7</w:t>
      </w:r>
      <w:r>
        <w:rPr>
          <w:rFonts w:hint="eastAsia" w:ascii="仿宋_GB2312" w:hAnsi="仿宋_GB2312" w:cs="仿宋_GB2312"/>
          <w:color w:val="auto"/>
          <w:sz w:val="32"/>
          <w:szCs w:val="32"/>
          <w:highlight w:val="none"/>
        </w:rPr>
        <w:t>个子项目，截至202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年12月底，1</w:t>
      </w:r>
      <w:r>
        <w:rPr>
          <w:rFonts w:hint="eastAsia" w:ascii="仿宋_GB2312" w:hAnsi="仿宋_GB2312" w:cs="仿宋_GB2312"/>
          <w:color w:val="auto"/>
          <w:sz w:val="32"/>
          <w:szCs w:val="32"/>
          <w:highlight w:val="none"/>
          <w:lang w:val="en-US" w:eastAsia="zh-CN"/>
        </w:rPr>
        <w:t>7</w:t>
      </w:r>
      <w:r>
        <w:rPr>
          <w:rFonts w:hint="eastAsia" w:ascii="仿宋_GB2312" w:hAnsi="仿宋_GB2312" w:cs="仿宋_GB2312"/>
          <w:color w:val="auto"/>
          <w:sz w:val="32"/>
          <w:szCs w:val="32"/>
          <w:highlight w:val="none"/>
        </w:rPr>
        <w:t>个子项目已基本完成。具体完成情况为：</w:t>
      </w:r>
    </w:p>
    <w:p>
      <w:pPr>
        <w:keepNext w:val="0"/>
        <w:keepLines w:val="0"/>
        <w:pageBreakBefore w:val="0"/>
        <w:widowControl w:val="0"/>
        <w:kinsoku/>
        <w:wordWrap/>
        <w:overflowPunct/>
        <w:topLinePunct w:val="0"/>
        <w:autoSpaceDE/>
        <w:autoSpaceDN/>
        <w:bidi w:val="0"/>
        <w:adjustRightInd w:val="0"/>
        <w:snapToGrid w:val="0"/>
        <w:spacing w:line="360" w:lineRule="auto"/>
        <w:ind w:firstLine="643" w:firstLineChars="200"/>
        <w:textAlignment w:val="auto"/>
        <w:rPr>
          <w:rFonts w:ascii="宋体" w:hAnsi="宋体"/>
          <w:strike/>
          <w:color w:val="auto"/>
          <w:sz w:val="32"/>
          <w:szCs w:val="32"/>
          <w:highlight w:val="none"/>
        </w:rPr>
      </w:pPr>
      <w:r>
        <w:rPr>
          <w:rFonts w:hint="eastAsia" w:ascii="仿宋_GB2312" w:hAnsi="仿宋_GB2312" w:cs="仿宋_GB2312"/>
          <w:b/>
          <w:bCs/>
          <w:color w:val="auto"/>
          <w:sz w:val="32"/>
          <w:szCs w:val="32"/>
          <w:highlight w:val="none"/>
          <w:lang w:val="en-US" w:eastAsia="zh-CN"/>
        </w:rPr>
        <w:t>一是重大活动无线电安全保障方面</w:t>
      </w:r>
      <w:r>
        <w:rPr>
          <w:rFonts w:hint="eastAsia" w:ascii="仿宋_GB2312" w:hAnsi="仿宋_GB2312" w:cs="仿宋_GB2312"/>
          <w:color w:val="auto"/>
          <w:sz w:val="32"/>
          <w:szCs w:val="32"/>
          <w:highlight w:val="none"/>
          <w:lang w:val="en-US" w:eastAsia="zh-CN"/>
        </w:rPr>
        <w:t>，2023年完成了服贸会、中非论坛、“两会”等重大活动无线电安全保障工作；完成了无人机管理机制技术咨询工作；完成了京津冀无线电协同管理支撑工作；完成了全国高考、自学考试、成人高考等国家七大类重要考试及北京市委市政府部署要求的建造师资格考试、医师资格考试等多项其他重要考试的无线电保障工作；</w:t>
      </w:r>
      <w:r>
        <w:rPr>
          <w:rFonts w:hint="eastAsia" w:ascii="仿宋_GB2312" w:hAnsi="仿宋_GB2312" w:cs="仿宋_GB2312"/>
          <w:b/>
          <w:bCs/>
          <w:color w:val="auto"/>
          <w:sz w:val="32"/>
          <w:szCs w:val="32"/>
          <w:highlight w:val="none"/>
          <w:lang w:val="en-US" w:eastAsia="zh-CN"/>
        </w:rPr>
        <w:t>二是无线电专业技术人员培训方面</w:t>
      </w:r>
      <w:r>
        <w:rPr>
          <w:rFonts w:hint="eastAsia" w:ascii="仿宋_GB2312" w:hAnsi="仿宋_GB2312" w:cs="仿宋_GB2312"/>
          <w:b w:val="0"/>
          <w:bCs w:val="0"/>
          <w:color w:val="auto"/>
          <w:sz w:val="32"/>
          <w:szCs w:val="32"/>
          <w:highlight w:val="none"/>
          <w:lang w:val="en-US" w:eastAsia="zh-CN"/>
        </w:rPr>
        <w:t>，2023年11月30日，市经信局在大兴区开展了无线电应急演练，提升了无线电技术队伍的专业能力；</w:t>
      </w:r>
      <w:r>
        <w:rPr>
          <w:rFonts w:hint="eastAsia" w:ascii="仿宋_GB2312" w:hAnsi="仿宋_GB2312" w:cs="仿宋_GB2312"/>
          <w:b/>
          <w:bCs/>
          <w:color w:val="auto"/>
          <w:sz w:val="32"/>
          <w:szCs w:val="32"/>
          <w:highlight w:val="none"/>
          <w:lang w:val="en-US" w:eastAsia="zh-CN"/>
        </w:rPr>
        <w:t>三是无线电频率协调方面</w:t>
      </w:r>
      <w:r>
        <w:rPr>
          <w:rFonts w:hint="eastAsia" w:ascii="仿宋_GB2312" w:hAnsi="仿宋_GB2312" w:cs="仿宋_GB2312"/>
          <w:b w:val="0"/>
          <w:bCs w:val="0"/>
          <w:color w:val="auto"/>
          <w:sz w:val="32"/>
          <w:szCs w:val="32"/>
          <w:highlight w:val="none"/>
          <w:lang w:val="en-US" w:eastAsia="zh-CN"/>
        </w:rPr>
        <w:t>，协助组织业余无线电台操作技术能力验证18场，参加人数1885人次；协助登记备案业余无线电设备核准代码1459个；协助组织业余无线电台操作证书的核发、更换与补发，共核准发放A类操作证1537个、B类操作证303个，换发补发A类操作证76个、B类操作证3个；完成了北京市公众移动通信无线电频率使用率评价支撑服务；</w:t>
      </w:r>
      <w:r>
        <w:rPr>
          <w:rFonts w:hint="eastAsia" w:ascii="仿宋_GB2312" w:hAnsi="仿宋_GB2312" w:cs="仿宋_GB2312"/>
          <w:b/>
          <w:bCs/>
          <w:color w:val="auto"/>
          <w:sz w:val="32"/>
          <w:szCs w:val="32"/>
          <w:highlight w:val="none"/>
          <w:lang w:val="en-US" w:eastAsia="zh-CN"/>
        </w:rPr>
        <w:t>四是在无线电监管设备或技术研究方面</w:t>
      </w:r>
      <w:r>
        <w:rPr>
          <w:rFonts w:hint="eastAsia" w:ascii="仿宋_GB2312" w:hAnsi="仿宋_GB2312" w:cs="仿宋_GB2312"/>
          <w:b w:val="0"/>
          <w:bCs w:val="0"/>
          <w:color w:val="auto"/>
          <w:sz w:val="32"/>
          <w:szCs w:val="32"/>
          <w:highlight w:val="none"/>
          <w:lang w:val="en-US" w:eastAsia="zh-CN"/>
        </w:rPr>
        <w:t>，完成了《北京市“十四五”国家无线电管理和发展规划中期评估报告》，完成了2024年频占费资金申报项目可研报告编制，完成了项目库更新工作；</w:t>
      </w:r>
      <w:r>
        <w:rPr>
          <w:rFonts w:hint="eastAsia" w:ascii="仿宋_GB2312" w:hAnsi="仿宋_GB2312" w:cs="仿宋_GB2312"/>
          <w:b/>
          <w:bCs/>
          <w:color w:val="auto"/>
          <w:sz w:val="32"/>
          <w:szCs w:val="32"/>
          <w:highlight w:val="none"/>
          <w:lang w:val="en-US" w:eastAsia="zh-CN"/>
        </w:rPr>
        <w:t>五是在无线电干扰查处方面</w:t>
      </w:r>
      <w:r>
        <w:rPr>
          <w:rFonts w:hint="eastAsia" w:ascii="仿宋_GB2312" w:hAnsi="仿宋_GB2312" w:cs="仿宋_GB2312"/>
          <w:b w:val="0"/>
          <w:bCs w:val="0"/>
          <w:color w:val="auto"/>
          <w:sz w:val="32"/>
          <w:szCs w:val="32"/>
          <w:highlight w:val="none"/>
          <w:lang w:val="en-US" w:eastAsia="zh-CN"/>
        </w:rPr>
        <w:t>，印制了无线电频率使用许可证200套、无线电台执照32000套；</w:t>
      </w:r>
      <w:r>
        <w:rPr>
          <w:rFonts w:hint="eastAsia" w:ascii="宋体" w:hAnsi="宋体" w:cs="仿宋_GB2312"/>
          <w:color w:val="auto"/>
          <w:kern w:val="0"/>
          <w:sz w:val="32"/>
          <w:szCs w:val="32"/>
          <w:highlight w:val="none"/>
          <w:lang w:bidi="ar"/>
        </w:rPr>
        <w:t>完成专项法律服务保障工作，聘请专业律师机构提供法律顾问服务，进一步规范了北京市无线电管理行政执法工作</w:t>
      </w:r>
      <w:r>
        <w:rPr>
          <w:rFonts w:hint="eastAsia" w:ascii="宋体" w:hAnsi="宋体" w:cs="仿宋_GB2312"/>
          <w:color w:val="auto"/>
          <w:kern w:val="0"/>
          <w:sz w:val="32"/>
          <w:szCs w:val="32"/>
          <w:highlight w:val="none"/>
          <w:lang w:eastAsia="zh-CN" w:bidi="ar"/>
        </w:rPr>
        <w:t>；</w:t>
      </w:r>
      <w:r>
        <w:rPr>
          <w:rFonts w:hint="eastAsia" w:ascii="宋体" w:hAnsi="宋体" w:cs="仿宋_GB2312"/>
          <w:color w:val="auto"/>
          <w:kern w:val="0"/>
          <w:sz w:val="32"/>
          <w:szCs w:val="32"/>
          <w:highlight w:val="none"/>
          <w:lang w:val="en-US" w:eastAsia="zh-CN" w:bidi="ar"/>
        </w:rPr>
        <w:t>通过发布“无线电管理公益宣传”画面、印制宣传海报，强化了公众对无线电管理法律法规的认知</w:t>
      </w:r>
      <w:r>
        <w:rPr>
          <w:rFonts w:hint="eastAsia" w:ascii="宋体" w:hAnsi="宋体" w:cs="仿宋_GB2312"/>
          <w:b w:val="0"/>
          <w:bCs w:val="0"/>
          <w:color w:val="auto"/>
          <w:kern w:val="0"/>
          <w:sz w:val="32"/>
          <w:szCs w:val="32"/>
          <w:highlight w:val="none"/>
          <w:lang w:val="en-US" w:eastAsia="zh-CN" w:bidi="ar"/>
        </w:rPr>
        <w:t>；</w:t>
      </w:r>
      <w:r>
        <w:rPr>
          <w:rFonts w:hint="eastAsia" w:ascii="仿宋_GB2312" w:hAnsi="仿宋" w:cs="仿宋"/>
          <w:b/>
          <w:bCs/>
          <w:color w:val="auto"/>
          <w:sz w:val="32"/>
          <w:szCs w:val="32"/>
          <w:highlight w:val="none"/>
          <w:lang w:val="en-US" w:eastAsia="zh-CN"/>
        </w:rPr>
        <w:t>六是考试保障方面</w:t>
      </w:r>
      <w:r>
        <w:rPr>
          <w:rFonts w:hint="eastAsia" w:ascii="仿宋_GB2312" w:hAnsi="仿宋" w:cs="仿宋"/>
          <w:b w:val="0"/>
          <w:bCs w:val="0"/>
          <w:color w:val="auto"/>
          <w:sz w:val="32"/>
          <w:szCs w:val="32"/>
          <w:highlight w:val="none"/>
          <w:lang w:val="en-US" w:eastAsia="zh-CN"/>
        </w:rPr>
        <w:t>，截至2023年12月底完成了13次考试保障设备租赁，维护了考试公平；</w:t>
      </w:r>
      <w:r>
        <w:rPr>
          <w:rFonts w:hint="eastAsia" w:ascii="仿宋_GB2312" w:hAnsi="仿宋" w:cs="仿宋"/>
          <w:b/>
          <w:bCs/>
          <w:color w:val="auto"/>
          <w:sz w:val="32"/>
          <w:szCs w:val="32"/>
          <w:highlight w:val="none"/>
          <w:lang w:val="en-US" w:eastAsia="zh-CN"/>
        </w:rPr>
        <w:t>七是航空及铁路无线电监测、检测方面，</w:t>
      </w:r>
      <w:r>
        <w:rPr>
          <w:rFonts w:hint="eastAsia" w:ascii="仿宋_GB2312" w:hAnsi="仿宋" w:cs="仿宋"/>
          <w:b w:val="0"/>
          <w:bCs w:val="0"/>
          <w:color w:val="auto"/>
          <w:sz w:val="32"/>
          <w:szCs w:val="32"/>
          <w:highlight w:val="none"/>
          <w:lang w:val="en-US" w:eastAsia="zh-CN"/>
        </w:rPr>
        <w:t>完成了涉及民航、铁路的监测、检测、干扰查处任务，有效保障民航、铁路等重点单位用频安全；</w:t>
      </w:r>
      <w:r>
        <w:rPr>
          <w:rFonts w:hint="eastAsia" w:ascii="宋体" w:hAnsi="宋体" w:cs="仿宋_GB2312"/>
          <w:b/>
          <w:bCs/>
          <w:color w:val="auto"/>
          <w:kern w:val="0"/>
          <w:sz w:val="32"/>
          <w:szCs w:val="32"/>
          <w:highlight w:val="none"/>
          <w:lang w:val="en-US" w:eastAsia="zh-CN" w:bidi="ar"/>
        </w:rPr>
        <w:t>八是其他事项支出方面</w:t>
      </w:r>
      <w:r>
        <w:rPr>
          <w:rFonts w:hint="eastAsia" w:ascii="宋体" w:hAnsi="宋体" w:cs="仿宋_GB2312"/>
          <w:b w:val="0"/>
          <w:bCs w:val="0"/>
          <w:color w:val="auto"/>
          <w:kern w:val="0"/>
          <w:sz w:val="32"/>
          <w:szCs w:val="32"/>
          <w:highlight w:val="none"/>
          <w:lang w:val="en-US" w:eastAsia="zh-CN" w:bidi="ar"/>
        </w:rPr>
        <w:t>，开展了频占费资金使用情况的绩效评价和审计工作，</w:t>
      </w:r>
      <w:r>
        <w:rPr>
          <w:rFonts w:hint="eastAsia" w:ascii="仿宋_GB2312" w:cs="仿宋_GB2312"/>
          <w:color w:val="auto"/>
          <w:sz w:val="32"/>
          <w:szCs w:val="32"/>
          <w:highlight w:val="none"/>
        </w:rPr>
        <w:t>优化了频占费资金的使用和管理</w:t>
      </w:r>
      <w:r>
        <w:rPr>
          <w:rFonts w:hint="eastAsia" w:ascii="仿宋_GB2312" w:cs="仿宋_GB2312"/>
          <w:color w:val="auto"/>
          <w:sz w:val="32"/>
          <w:szCs w:val="32"/>
          <w:highlight w:val="none"/>
          <w:lang w:eastAsia="zh-CN"/>
        </w:rPr>
        <w:t>；</w:t>
      </w:r>
      <w:r>
        <w:rPr>
          <w:rFonts w:hint="eastAsia" w:ascii="宋体" w:hAnsi="宋体" w:cs="仿宋_GB2312"/>
          <w:b w:val="0"/>
          <w:bCs w:val="0"/>
          <w:color w:val="auto"/>
          <w:kern w:val="0"/>
          <w:sz w:val="32"/>
          <w:szCs w:val="32"/>
          <w:highlight w:val="none"/>
          <w:lang w:val="en-US" w:eastAsia="zh-CN" w:bidi="ar"/>
        </w:rPr>
        <w:t>完成了2023年度《内控手册》的修订，</w:t>
      </w:r>
      <w:r>
        <w:rPr>
          <w:rFonts w:hint="eastAsia" w:ascii="宋体" w:hAnsi="宋体" w:cs="仿宋_GB2312"/>
          <w:color w:val="auto"/>
          <w:kern w:val="0"/>
          <w:sz w:val="32"/>
          <w:szCs w:val="32"/>
          <w:highlight w:val="none"/>
          <w:lang w:bidi="ar"/>
        </w:rPr>
        <w:t>进一步完善了内部控制制度</w:t>
      </w:r>
      <w:r>
        <w:rPr>
          <w:rFonts w:hint="eastAsia" w:ascii="宋体" w:hAnsi="宋体" w:cs="仿宋_GB2312"/>
          <w:color w:val="auto"/>
          <w:kern w:val="0"/>
          <w:sz w:val="32"/>
          <w:szCs w:val="32"/>
          <w:highlight w:val="none"/>
          <w:lang w:eastAsia="zh-CN" w:bidi="ar"/>
        </w:rPr>
        <w:t>；</w:t>
      </w:r>
      <w:r>
        <w:rPr>
          <w:rFonts w:hint="eastAsia" w:ascii="宋体" w:hAnsi="宋体" w:cs="仿宋_GB2312"/>
          <w:color w:val="auto"/>
          <w:kern w:val="0"/>
          <w:sz w:val="32"/>
          <w:szCs w:val="32"/>
          <w:highlight w:val="none"/>
          <w:lang w:val="en-US" w:eastAsia="zh-CN" w:bidi="ar"/>
        </w:rPr>
        <w:t>完成了2023年无线电管理经费绩效评价工作，进一步规范了</w:t>
      </w:r>
      <w:r>
        <w:rPr>
          <w:rFonts w:hint="eastAsia" w:ascii="仿宋_GB2312" w:hAnsi="仿宋" w:eastAsia="仿宋_GB2312" w:cs="仿宋"/>
          <w:color w:val="auto"/>
          <w:sz w:val="32"/>
          <w:szCs w:val="32"/>
          <w:highlight w:val="none"/>
          <w:lang w:val="en-US" w:eastAsia="zh-CN"/>
        </w:rPr>
        <w:t>无线电管理经费资金使用</w:t>
      </w:r>
      <w:r>
        <w:rPr>
          <w:rFonts w:hint="eastAsia" w:ascii="仿宋_GB2312" w:hAnsi="仿宋" w:cs="仿宋"/>
          <w:color w:val="auto"/>
          <w:sz w:val="32"/>
          <w:szCs w:val="32"/>
          <w:highlight w:val="none"/>
          <w:lang w:val="en-US" w:eastAsia="zh-CN"/>
        </w:rPr>
        <w:t>；完成了北京市无线电监测站的文书档案（1992-2021年度）及项目档案（1998-2023年度）的整理归档工作，进一步规范了无线电监管工作的流程。</w:t>
      </w:r>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color w:val="auto"/>
          <w:sz w:val="32"/>
          <w:szCs w:val="32"/>
          <w:highlight w:val="none"/>
        </w:rPr>
        <w:t>无线电</w:t>
      </w:r>
      <w:r>
        <w:rPr>
          <w:rFonts w:hint="eastAsia" w:ascii="仿宋_GB2312" w:hAnsi="仿宋_GB2312" w:cs="仿宋_GB2312"/>
          <w:b/>
          <w:color w:val="auto"/>
          <w:sz w:val="32"/>
          <w:szCs w:val="32"/>
          <w:highlight w:val="none"/>
          <w:lang w:val="en-US" w:eastAsia="zh-CN"/>
        </w:rPr>
        <w:t>发射</w:t>
      </w:r>
      <w:r>
        <w:rPr>
          <w:rFonts w:hint="eastAsia" w:ascii="仿宋_GB2312" w:hAnsi="仿宋_GB2312" w:cs="仿宋_GB2312"/>
          <w:b/>
          <w:color w:val="auto"/>
          <w:sz w:val="32"/>
          <w:szCs w:val="32"/>
          <w:highlight w:val="none"/>
        </w:rPr>
        <w:t>设备</w:t>
      </w:r>
      <w:r>
        <w:rPr>
          <w:rFonts w:hint="eastAsia" w:ascii="仿宋_GB2312" w:hAnsi="仿宋_GB2312" w:cs="仿宋_GB2312"/>
          <w:b/>
          <w:color w:val="auto"/>
          <w:sz w:val="32"/>
          <w:szCs w:val="32"/>
          <w:highlight w:val="none"/>
          <w:lang w:val="en-US" w:eastAsia="zh-CN"/>
        </w:rPr>
        <w:t>型号</w:t>
      </w:r>
      <w:r>
        <w:rPr>
          <w:rFonts w:hint="eastAsia" w:ascii="仿宋_GB2312" w:hAnsi="仿宋_GB2312" w:cs="仿宋_GB2312"/>
          <w:b/>
          <w:color w:val="auto"/>
          <w:sz w:val="32"/>
          <w:szCs w:val="32"/>
          <w:highlight w:val="none"/>
        </w:rPr>
        <w:t>核准测试</w:t>
      </w:r>
      <w:r>
        <w:rPr>
          <w:rFonts w:hint="eastAsia" w:ascii="仿宋_GB2312" w:hAnsi="仿宋_GB2312" w:cs="仿宋_GB2312"/>
          <w:b/>
          <w:color w:val="auto"/>
          <w:sz w:val="32"/>
          <w:szCs w:val="32"/>
          <w:highlight w:val="none"/>
          <w:lang w:val="en-US" w:eastAsia="zh-CN"/>
        </w:rPr>
        <w:t>项目及设备管理工作</w:t>
      </w:r>
      <w:r>
        <w:rPr>
          <w:rFonts w:hint="eastAsia" w:ascii="仿宋_GB2312" w:hAnsi="仿宋_GB2312" w:cs="仿宋_GB2312"/>
          <w:b/>
          <w:color w:val="auto"/>
          <w:sz w:val="32"/>
          <w:szCs w:val="32"/>
          <w:highlight w:val="none"/>
        </w:rPr>
        <w:t>方面。</w:t>
      </w:r>
      <w:r>
        <w:rPr>
          <w:rFonts w:hint="eastAsia" w:ascii="仿宋_GB2312" w:hAnsi="仿宋_GB2312" w:cs="仿宋_GB2312"/>
          <w:color w:val="auto"/>
          <w:sz w:val="32"/>
          <w:szCs w:val="32"/>
          <w:highlight w:val="none"/>
        </w:rPr>
        <w:t>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w:t>
      </w:r>
      <w:r>
        <w:rPr>
          <w:rFonts w:hint="eastAsia" w:ascii="仿宋_GB2312" w:hAnsi="仿宋_GB2312" w:cs="仿宋_GB2312"/>
          <w:color w:val="auto"/>
          <w:sz w:val="32"/>
          <w:szCs w:val="32"/>
          <w:highlight w:val="none"/>
          <w:lang w:val="en-US" w:eastAsia="zh-CN"/>
        </w:rPr>
        <w:t>市经信局和监测站完成</w:t>
      </w:r>
      <w:r>
        <w:rPr>
          <w:rFonts w:hint="eastAsia" w:ascii="仿宋_GB2312" w:hAnsi="仿宋_GB2312" w:cs="仿宋_GB2312"/>
          <w:color w:val="auto"/>
          <w:sz w:val="32"/>
          <w:szCs w:val="32"/>
          <w:highlight w:val="none"/>
        </w:rPr>
        <w:t>了</w:t>
      </w:r>
      <w:r>
        <w:rPr>
          <w:rFonts w:hint="eastAsia" w:ascii="仿宋_GB2312" w:hAnsi="仿宋_GB2312" w:cs="仿宋_GB2312"/>
          <w:color w:val="auto"/>
          <w:sz w:val="32"/>
          <w:szCs w:val="32"/>
          <w:highlight w:val="none"/>
          <w:lang w:val="en-US" w:eastAsia="zh-CN"/>
        </w:rPr>
        <w:t>以下5部分工作内容：</w:t>
      </w:r>
      <w:r>
        <w:rPr>
          <w:rFonts w:hint="eastAsia" w:ascii="仿宋_GB2312" w:hAnsi="仿宋_GB2312" w:cs="仿宋_GB2312"/>
          <w:b/>
          <w:color w:val="auto"/>
          <w:sz w:val="32"/>
          <w:szCs w:val="32"/>
          <w:highlight w:val="none"/>
          <w:lang w:val="en-US" w:eastAsia="zh-CN"/>
        </w:rPr>
        <w:t>一是</w:t>
      </w:r>
      <w:r>
        <w:rPr>
          <w:rFonts w:hint="eastAsia" w:ascii="仿宋_GB2312" w:hAnsi="仿宋_GB2312" w:cs="仿宋_GB2312"/>
          <w:color w:val="auto"/>
          <w:sz w:val="32"/>
          <w:szCs w:val="32"/>
          <w:highlight w:val="none"/>
          <w:lang w:val="en-US" w:eastAsia="zh-CN"/>
        </w:rPr>
        <w:t>完成2022年无线电发射设备型号核准测试任务，共涉及公众移动通信基站、直放站、终端、无线局域网及蓝牙设备等7大类13种发射设备，</w:t>
      </w:r>
      <w:r>
        <w:rPr>
          <w:rFonts w:hint="default" w:ascii="仿宋_GB2312" w:hAnsi="仿宋_GB2312" w:eastAsia="仿宋_GB2312" w:cs="仿宋_GB2312"/>
          <w:color w:val="auto"/>
          <w:kern w:val="0"/>
          <w:sz w:val="32"/>
          <w:szCs w:val="32"/>
          <w:highlight w:val="none"/>
          <w:lang w:eastAsia="zh-CN" w:bidi="ar"/>
        </w:rPr>
        <w:t>测试</w:t>
      </w:r>
      <w:r>
        <w:rPr>
          <w:rFonts w:hint="eastAsia" w:ascii="仿宋_GB2312" w:hAnsi="仿宋_GB2312" w:cs="仿宋_GB2312"/>
          <w:color w:val="auto"/>
          <w:kern w:val="0"/>
          <w:sz w:val="32"/>
          <w:szCs w:val="32"/>
          <w:highlight w:val="none"/>
          <w:lang w:val="en-US" w:eastAsia="zh-CN" w:bidi="ar"/>
        </w:rPr>
        <w:t>了</w:t>
      </w:r>
      <w:r>
        <w:rPr>
          <w:rFonts w:hint="eastAsia" w:ascii="仿宋_GB2312" w:hAnsi="仿宋_GB2312" w:eastAsia="仿宋_GB2312" w:cs="仿宋_GB2312"/>
          <w:color w:val="auto"/>
          <w:kern w:val="0"/>
          <w:sz w:val="32"/>
          <w:szCs w:val="32"/>
          <w:highlight w:val="none"/>
          <w:lang w:val="en-US" w:eastAsia="zh-CN" w:bidi="ar"/>
        </w:rPr>
        <w:t>北京区域63</w:t>
      </w:r>
      <w:r>
        <w:rPr>
          <w:rFonts w:hint="default" w:ascii="仿宋_GB2312" w:hAnsi="仿宋_GB2312" w:eastAsia="仿宋_GB2312" w:cs="仿宋_GB2312"/>
          <w:color w:val="auto"/>
          <w:kern w:val="0"/>
          <w:sz w:val="32"/>
          <w:szCs w:val="32"/>
          <w:highlight w:val="none"/>
          <w:lang w:eastAsia="zh-CN" w:bidi="ar"/>
        </w:rPr>
        <w:t>98</w:t>
      </w:r>
      <w:r>
        <w:rPr>
          <w:rFonts w:hint="default" w:ascii="仿宋_GB2312" w:hAnsi="仿宋_GB2312" w:eastAsia="仿宋_GB2312" w:cs="仿宋_GB2312"/>
          <w:color w:val="auto"/>
          <w:kern w:val="0"/>
          <w:sz w:val="32"/>
          <w:szCs w:val="32"/>
          <w:highlight w:val="none"/>
          <w:lang w:val="en-US" w:eastAsia="zh-CN" w:bidi="ar"/>
        </w:rPr>
        <w:t>款</w:t>
      </w:r>
      <w:r>
        <w:rPr>
          <w:rFonts w:hint="default" w:ascii="仿宋_GB2312" w:hAnsi="仿宋_GB2312" w:eastAsia="仿宋_GB2312" w:cs="仿宋_GB2312"/>
          <w:color w:val="auto"/>
          <w:kern w:val="0"/>
          <w:sz w:val="32"/>
          <w:szCs w:val="32"/>
          <w:highlight w:val="none"/>
          <w:lang w:eastAsia="zh-CN" w:bidi="ar"/>
        </w:rPr>
        <w:t>无线电设备</w:t>
      </w:r>
      <w:r>
        <w:rPr>
          <w:rFonts w:hint="default" w:ascii="仿宋_GB2312" w:hAnsi="仿宋_GB2312" w:eastAsia="仿宋_GB2312" w:cs="仿宋_GB2312"/>
          <w:color w:val="auto"/>
          <w:kern w:val="0"/>
          <w:sz w:val="32"/>
          <w:szCs w:val="32"/>
          <w:highlight w:val="none"/>
          <w:lang w:val="en-US" w:eastAsia="zh-CN" w:bidi="ar"/>
        </w:rPr>
        <w:t>，</w:t>
      </w:r>
      <w:r>
        <w:rPr>
          <w:rFonts w:hint="default" w:ascii="仿宋_GB2312" w:hAnsi="仿宋_GB2312" w:eastAsia="仿宋_GB2312" w:cs="仿宋_GB2312"/>
          <w:color w:val="auto"/>
          <w:kern w:val="0"/>
          <w:sz w:val="32"/>
          <w:szCs w:val="32"/>
          <w:highlight w:val="none"/>
          <w:lang w:eastAsia="zh-CN" w:bidi="ar"/>
        </w:rPr>
        <w:t>并</w:t>
      </w:r>
      <w:r>
        <w:rPr>
          <w:rFonts w:hint="default" w:ascii="仿宋_GB2312" w:hAnsi="仿宋_GB2312" w:eastAsia="仿宋_GB2312" w:cs="仿宋_GB2312"/>
          <w:color w:val="auto"/>
          <w:kern w:val="0"/>
          <w:sz w:val="32"/>
          <w:szCs w:val="32"/>
          <w:highlight w:val="none"/>
          <w:lang w:val="en-US" w:eastAsia="zh-CN" w:bidi="ar"/>
        </w:rPr>
        <w:t>审核</w:t>
      </w:r>
      <w:r>
        <w:rPr>
          <w:rFonts w:hint="eastAsia" w:ascii="仿宋_GB2312" w:hAnsi="仿宋_GB2312" w:cs="仿宋_GB2312"/>
          <w:color w:val="auto"/>
          <w:kern w:val="0"/>
          <w:sz w:val="32"/>
          <w:szCs w:val="32"/>
          <w:highlight w:val="none"/>
          <w:lang w:val="en-US" w:eastAsia="zh-CN" w:bidi="ar"/>
        </w:rPr>
        <w:t>了</w:t>
      </w:r>
      <w:r>
        <w:rPr>
          <w:rFonts w:hint="default" w:ascii="仿宋_GB2312" w:hAnsi="仿宋_GB2312" w:eastAsia="仿宋_GB2312" w:cs="仿宋_GB2312"/>
          <w:color w:val="auto"/>
          <w:kern w:val="0"/>
          <w:sz w:val="32"/>
          <w:szCs w:val="32"/>
          <w:highlight w:val="none"/>
          <w:lang w:eastAsia="zh-CN" w:bidi="ar"/>
        </w:rPr>
        <w:t>相关测试</w:t>
      </w:r>
      <w:r>
        <w:rPr>
          <w:rFonts w:hint="default" w:ascii="仿宋_GB2312" w:hAnsi="仿宋_GB2312" w:eastAsia="仿宋_GB2312" w:cs="仿宋_GB2312"/>
          <w:color w:val="auto"/>
          <w:kern w:val="0"/>
          <w:sz w:val="32"/>
          <w:szCs w:val="32"/>
          <w:highlight w:val="none"/>
          <w:lang w:val="en-US" w:eastAsia="zh-CN" w:bidi="ar"/>
        </w:rPr>
        <w:t>报告</w:t>
      </w:r>
      <w:r>
        <w:rPr>
          <w:rFonts w:hint="eastAsia" w:ascii="仿宋_GB2312" w:hAnsi="仿宋_GB2312" w:cs="仿宋_GB2312"/>
          <w:color w:val="auto"/>
          <w:sz w:val="32"/>
          <w:szCs w:val="32"/>
          <w:highlight w:val="none"/>
          <w:lang w:val="en-US" w:eastAsia="zh-CN"/>
        </w:rPr>
        <w:t>；</w:t>
      </w:r>
      <w:r>
        <w:rPr>
          <w:rFonts w:hint="eastAsia" w:ascii="仿宋_GB2312" w:hAnsi="仿宋_GB2312" w:cs="仿宋_GB2312"/>
          <w:b/>
          <w:bCs/>
          <w:color w:val="auto"/>
          <w:sz w:val="32"/>
          <w:szCs w:val="32"/>
          <w:highlight w:val="none"/>
          <w:lang w:val="en-US" w:eastAsia="zh-CN"/>
        </w:rPr>
        <w:t>二是</w:t>
      </w:r>
      <w:r>
        <w:rPr>
          <w:rFonts w:hint="eastAsia" w:ascii="仿宋_GB2312" w:hAnsi="仿宋_GB2312" w:cs="仿宋_GB2312"/>
          <w:b w:val="0"/>
          <w:bCs w:val="0"/>
          <w:color w:val="auto"/>
          <w:sz w:val="32"/>
          <w:szCs w:val="32"/>
          <w:highlight w:val="none"/>
          <w:lang w:val="en-US" w:eastAsia="zh-CN"/>
        </w:rPr>
        <w:t>完成了</w:t>
      </w:r>
      <w:r>
        <w:rPr>
          <w:rFonts w:hint="eastAsia" w:ascii="仿宋_GB2312" w:hAnsi="仿宋_GB2312" w:eastAsia="仿宋_GB2312" w:cs="仿宋_GB2312"/>
          <w:color w:val="auto"/>
          <w:sz w:val="32"/>
          <w:szCs w:val="32"/>
          <w:highlight w:val="none"/>
          <w:lang w:val="en-US" w:eastAsia="zh-CN"/>
        </w:rPr>
        <w:t>核准取证后双随机抽查工作</w:t>
      </w:r>
      <w:r>
        <w:rPr>
          <w:rFonts w:hint="eastAsia" w:ascii="仿宋_GB2312" w:hAnsi="仿宋_GB2312" w:cs="仿宋_GB2312"/>
          <w:color w:val="auto"/>
          <w:sz w:val="32"/>
          <w:szCs w:val="32"/>
          <w:highlight w:val="none"/>
          <w:lang w:val="en-US" w:eastAsia="zh-CN"/>
        </w:rPr>
        <w:t>，对北京地区</w:t>
      </w:r>
      <w:r>
        <w:rPr>
          <w:rFonts w:hint="eastAsia" w:ascii="仿宋_GB2312" w:hAnsi="仿宋_GB2312" w:eastAsia="仿宋_GB2312" w:cs="仿宋_GB2312"/>
          <w:color w:val="auto"/>
          <w:kern w:val="0"/>
          <w:sz w:val="32"/>
          <w:szCs w:val="32"/>
          <w:highlight w:val="none"/>
          <w:lang w:val="en-US" w:eastAsia="zh-CN" w:bidi="ar"/>
        </w:rPr>
        <w:t>小米、苹果、惠普等</w:t>
      </w:r>
      <w:r>
        <w:rPr>
          <w:rFonts w:hint="eastAsia" w:ascii="仿宋_GB2312" w:hAnsi="仿宋_GB2312" w:cs="仿宋_GB2312"/>
          <w:color w:val="auto"/>
          <w:sz w:val="32"/>
          <w:szCs w:val="32"/>
          <w:highlight w:val="none"/>
          <w:lang w:val="en-US" w:eastAsia="zh-CN"/>
        </w:rPr>
        <w:t>26家企业34种设备的</w:t>
      </w:r>
      <w:r>
        <w:rPr>
          <w:rFonts w:hint="eastAsia" w:ascii="仿宋_GB2312" w:hAnsi="仿宋_GB2312" w:eastAsia="仿宋_GB2312" w:cs="仿宋_GB2312"/>
          <w:color w:val="auto"/>
          <w:sz w:val="32"/>
          <w:szCs w:val="32"/>
          <w:highlight w:val="none"/>
        </w:rPr>
        <w:t>核准取证后抽检复测</w:t>
      </w:r>
      <w:r>
        <w:rPr>
          <w:rFonts w:hint="eastAsia" w:ascii="仿宋_GB2312" w:hAnsi="仿宋_GB2312" w:cs="仿宋_GB2312"/>
          <w:color w:val="auto"/>
          <w:sz w:val="32"/>
          <w:szCs w:val="32"/>
          <w:highlight w:val="none"/>
        </w:rPr>
        <w:t>等相关工作。202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年市经信局及监测站对北京地区</w:t>
      </w:r>
      <w:r>
        <w:rPr>
          <w:rFonts w:hint="eastAsia" w:ascii="仿宋_GB2312" w:hAnsi="仿宋_GB2312" w:eastAsia="仿宋_GB2312" w:cs="仿宋_GB2312"/>
          <w:color w:val="auto"/>
          <w:sz w:val="32"/>
          <w:szCs w:val="32"/>
          <w:highlight w:val="none"/>
        </w:rPr>
        <w:t>小米、苹果、惠普等26家企业</w:t>
      </w:r>
      <w:r>
        <w:rPr>
          <w:rFonts w:hint="eastAsia" w:ascii="仿宋_GB2312" w:hAnsi="仿宋_GB2312" w:cs="仿宋_GB2312"/>
          <w:color w:val="auto"/>
          <w:sz w:val="32"/>
          <w:szCs w:val="32"/>
          <w:highlight w:val="none"/>
          <w:lang w:val="en-US" w:eastAsia="zh-CN"/>
        </w:rPr>
        <w:t>开展双随机抽查工作</w:t>
      </w:r>
      <w:r>
        <w:rPr>
          <w:rFonts w:hint="eastAsia" w:ascii="仿宋_GB2312" w:hAnsi="仿宋_GB2312" w:cs="仿宋_GB2312"/>
          <w:color w:val="auto"/>
          <w:sz w:val="32"/>
          <w:szCs w:val="32"/>
          <w:highlight w:val="none"/>
          <w:lang w:eastAsia="zh-CN"/>
        </w:rPr>
        <w:t>，</w:t>
      </w:r>
      <w:r>
        <w:rPr>
          <w:rFonts w:hint="eastAsia" w:ascii="仿宋_GB2312" w:hAnsi="仿宋_GB2312" w:eastAsia="仿宋_GB2312" w:cs="仿宋_GB2312"/>
          <w:color w:val="auto"/>
          <w:kern w:val="0"/>
          <w:sz w:val="32"/>
          <w:szCs w:val="32"/>
          <w:highlight w:val="none"/>
          <w:lang w:val="en-US" w:eastAsia="zh-CN" w:bidi="ar"/>
        </w:rPr>
        <w:t>抽查的设备包</w:t>
      </w:r>
      <w:r>
        <w:rPr>
          <w:rFonts w:hint="default" w:ascii="仿宋_GB2312" w:hAnsi="仿宋_GB2312" w:eastAsia="仿宋_GB2312" w:cs="仿宋_GB2312"/>
          <w:color w:val="auto"/>
          <w:kern w:val="0"/>
          <w:sz w:val="32"/>
          <w:szCs w:val="32"/>
          <w:highlight w:val="none"/>
          <w:lang w:val="en-US" w:eastAsia="zh-CN" w:bidi="ar"/>
        </w:rPr>
        <w:t>含</w:t>
      </w:r>
      <w:r>
        <w:rPr>
          <w:rFonts w:hint="eastAsia" w:ascii="仿宋_GB2312" w:hAnsi="仿宋_GB2312" w:eastAsia="仿宋_GB2312" w:cs="仿宋_GB2312"/>
          <w:color w:val="auto"/>
          <w:kern w:val="0"/>
          <w:sz w:val="32"/>
          <w:szCs w:val="32"/>
          <w:highlight w:val="none"/>
          <w:lang w:val="en-US" w:eastAsia="zh-CN" w:bidi="ar"/>
        </w:rPr>
        <w:t>公众移动通信</w:t>
      </w:r>
      <w:r>
        <w:rPr>
          <w:rFonts w:hint="default" w:ascii="仿宋_GB2312" w:hAnsi="仿宋_GB2312" w:eastAsia="仿宋_GB2312" w:cs="仿宋_GB2312"/>
          <w:color w:val="auto"/>
          <w:kern w:val="0"/>
          <w:sz w:val="32"/>
          <w:szCs w:val="32"/>
          <w:highlight w:val="none"/>
          <w:lang w:eastAsia="zh-CN" w:bidi="ar"/>
        </w:rPr>
        <w:t>终端</w:t>
      </w:r>
      <w:r>
        <w:rPr>
          <w:rFonts w:hint="eastAsia" w:ascii="仿宋_GB2312" w:hAnsi="仿宋_GB2312" w:eastAsia="仿宋_GB2312" w:cs="仿宋_GB2312"/>
          <w:color w:val="auto"/>
          <w:kern w:val="0"/>
          <w:sz w:val="32"/>
          <w:szCs w:val="32"/>
          <w:highlight w:val="none"/>
          <w:lang w:val="en-US" w:eastAsia="zh-CN" w:bidi="ar"/>
        </w:rPr>
        <w:t>、无线局域网、蓝牙设备、</w:t>
      </w:r>
      <w:r>
        <w:rPr>
          <w:rFonts w:hint="default" w:ascii="仿宋_GB2312" w:hAnsi="仿宋_GB2312" w:eastAsia="仿宋_GB2312" w:cs="仿宋_GB2312"/>
          <w:color w:val="auto"/>
          <w:kern w:val="0"/>
          <w:sz w:val="32"/>
          <w:szCs w:val="32"/>
          <w:highlight w:val="none"/>
          <w:lang w:val="en-US" w:eastAsia="zh-CN" w:bidi="ar"/>
        </w:rPr>
        <w:t>广播雷达、</w:t>
      </w:r>
      <w:r>
        <w:rPr>
          <w:rFonts w:hint="eastAsia" w:ascii="仿宋_GB2312" w:hAnsi="仿宋_GB2312" w:eastAsia="仿宋_GB2312" w:cs="仿宋_GB2312"/>
          <w:color w:val="auto"/>
          <w:kern w:val="0"/>
          <w:sz w:val="32"/>
          <w:szCs w:val="32"/>
          <w:highlight w:val="none"/>
          <w:lang w:val="en-US" w:eastAsia="zh-CN" w:bidi="ar"/>
        </w:rPr>
        <w:t>集群终端及基站</w:t>
      </w:r>
      <w:r>
        <w:rPr>
          <w:rFonts w:hint="default" w:ascii="仿宋_GB2312" w:hAnsi="仿宋_GB2312" w:eastAsia="仿宋_GB2312" w:cs="仿宋_GB2312"/>
          <w:color w:val="auto"/>
          <w:kern w:val="0"/>
          <w:sz w:val="32"/>
          <w:szCs w:val="32"/>
          <w:highlight w:val="none"/>
          <w:lang w:val="en-US" w:eastAsia="zh-CN" w:bidi="ar"/>
        </w:rPr>
        <w:t>等五</w:t>
      </w:r>
      <w:r>
        <w:rPr>
          <w:rFonts w:hint="eastAsia" w:ascii="仿宋_GB2312" w:hAnsi="仿宋_GB2312" w:eastAsia="仿宋_GB2312" w:cs="仿宋_GB2312"/>
          <w:color w:val="auto"/>
          <w:kern w:val="0"/>
          <w:sz w:val="32"/>
          <w:szCs w:val="32"/>
          <w:highlight w:val="none"/>
          <w:lang w:val="en-US" w:eastAsia="zh-CN" w:bidi="ar"/>
        </w:rPr>
        <w:t>类</w:t>
      </w:r>
      <w:r>
        <w:rPr>
          <w:rFonts w:hint="eastAsia" w:ascii="仿宋_GB2312" w:hAnsi="仿宋_GB2312" w:cs="仿宋_GB2312"/>
          <w:color w:val="auto"/>
          <w:sz w:val="32"/>
          <w:szCs w:val="32"/>
          <w:highlight w:val="none"/>
          <w:lang w:eastAsia="zh-CN"/>
        </w:rPr>
        <w:t>；</w:t>
      </w:r>
      <w:r>
        <w:rPr>
          <w:rFonts w:hint="eastAsia" w:ascii="仿宋_GB2312" w:hAnsi="仿宋_GB2312" w:cs="仿宋_GB2312"/>
          <w:b/>
          <w:bCs/>
          <w:color w:val="auto"/>
          <w:sz w:val="32"/>
          <w:szCs w:val="32"/>
          <w:highlight w:val="none"/>
          <w:lang w:val="en-US" w:eastAsia="zh-CN"/>
        </w:rPr>
        <w:t>三是</w:t>
      </w:r>
      <w:r>
        <w:rPr>
          <w:rFonts w:hint="eastAsia" w:ascii="仿宋_GB2312" w:hAnsi="仿宋_GB2312" w:cs="仿宋_GB2312"/>
          <w:b w:val="0"/>
          <w:bCs w:val="0"/>
          <w:color w:val="auto"/>
          <w:sz w:val="32"/>
          <w:szCs w:val="32"/>
          <w:highlight w:val="none"/>
          <w:lang w:val="en-US" w:eastAsia="zh-CN"/>
        </w:rPr>
        <w:t>完成了2023年无线电发射设备型号核准测试项目招标工作，</w:t>
      </w:r>
      <w:r>
        <w:rPr>
          <w:rFonts w:hint="eastAsia" w:ascii="仿宋_GB2312" w:hAnsi="仿宋_GB2312" w:eastAsia="仿宋_GB2312" w:cs="仿宋_GB2312"/>
          <w:color w:val="auto"/>
          <w:kern w:val="0"/>
          <w:sz w:val="32"/>
          <w:szCs w:val="32"/>
          <w:highlight w:val="none"/>
          <w:lang w:val="en-US" w:eastAsia="zh-CN" w:bidi="ar"/>
        </w:rPr>
        <w:t>组织召开型号核准测试工作征求意见座谈会</w:t>
      </w:r>
      <w:r>
        <w:rPr>
          <w:rFonts w:hint="eastAsia" w:ascii="仿宋_GB2312" w:hAnsi="仿宋_GB2312" w:cs="仿宋_GB2312"/>
          <w:color w:val="auto"/>
          <w:kern w:val="0"/>
          <w:sz w:val="32"/>
          <w:szCs w:val="32"/>
          <w:highlight w:val="none"/>
          <w:lang w:val="en-US" w:eastAsia="zh-CN" w:bidi="ar"/>
        </w:rPr>
        <w:t>，发放需求调查问卷，编制招标方案，2023年9月完成项目招标，10月完成涉密采购工作；</w:t>
      </w:r>
      <w:r>
        <w:rPr>
          <w:rFonts w:hint="eastAsia" w:ascii="仿宋_GB2312" w:hAnsi="仿宋_GB2312" w:cs="仿宋_GB2312"/>
          <w:b/>
          <w:bCs/>
          <w:color w:val="auto"/>
          <w:kern w:val="0"/>
          <w:sz w:val="32"/>
          <w:szCs w:val="32"/>
          <w:highlight w:val="none"/>
          <w:lang w:val="en-US" w:eastAsia="zh-CN" w:bidi="ar"/>
        </w:rPr>
        <w:t>四是</w:t>
      </w:r>
      <w:r>
        <w:rPr>
          <w:rFonts w:hint="eastAsia" w:ascii="仿宋_GB2312" w:hAnsi="仿宋_GB2312" w:cs="仿宋_GB2312"/>
          <w:b w:val="0"/>
          <w:bCs w:val="0"/>
          <w:color w:val="auto"/>
          <w:kern w:val="0"/>
          <w:sz w:val="32"/>
          <w:szCs w:val="32"/>
          <w:highlight w:val="none"/>
          <w:lang w:val="en-US" w:eastAsia="zh-CN" w:bidi="ar"/>
        </w:rPr>
        <w:t>无线电发射设备销售备案工作，要求</w:t>
      </w:r>
      <w:r>
        <w:rPr>
          <w:rFonts w:hint="default" w:ascii="仿宋_GB2312" w:hAnsi="仿宋_GB2312" w:eastAsia="仿宋_GB2312" w:cs="仿宋_GB2312"/>
          <w:color w:val="auto"/>
          <w:kern w:val="0"/>
          <w:sz w:val="32"/>
          <w:szCs w:val="32"/>
          <w:highlight w:val="none"/>
          <w:lang w:val="en-US" w:eastAsia="zh-CN" w:bidi="ar"/>
        </w:rPr>
        <w:t>北京地区注册的无线电发射设备销售企业应当在开始销售之日起10个工作日内通过信息平台向</w:t>
      </w:r>
      <w:r>
        <w:rPr>
          <w:rFonts w:hint="eastAsia" w:ascii="仿宋_GB2312" w:hAnsi="仿宋_GB2312" w:cs="仿宋_GB2312"/>
          <w:color w:val="auto"/>
          <w:kern w:val="0"/>
          <w:sz w:val="32"/>
          <w:szCs w:val="32"/>
          <w:highlight w:val="none"/>
          <w:lang w:val="en-US" w:eastAsia="zh-CN" w:bidi="ar"/>
        </w:rPr>
        <w:t>市经信局</w:t>
      </w:r>
      <w:r>
        <w:rPr>
          <w:rFonts w:hint="default" w:ascii="仿宋_GB2312" w:hAnsi="仿宋_GB2312" w:eastAsia="仿宋_GB2312" w:cs="仿宋_GB2312"/>
          <w:color w:val="auto"/>
          <w:kern w:val="0"/>
          <w:sz w:val="32"/>
          <w:szCs w:val="32"/>
          <w:highlight w:val="none"/>
          <w:lang w:val="en-US" w:eastAsia="zh-CN" w:bidi="ar"/>
        </w:rPr>
        <w:t>办理销售备案手续</w:t>
      </w:r>
      <w:r>
        <w:rPr>
          <w:rFonts w:hint="eastAsia" w:ascii="仿宋_GB2312" w:hAnsi="仿宋_GB2312" w:cs="仿宋_GB2312"/>
          <w:color w:val="auto"/>
          <w:kern w:val="0"/>
          <w:sz w:val="32"/>
          <w:szCs w:val="32"/>
          <w:highlight w:val="none"/>
          <w:lang w:val="en-US" w:eastAsia="zh-CN" w:bidi="ar"/>
        </w:rPr>
        <w:t>，截至2023年底，</w:t>
      </w:r>
      <w:r>
        <w:rPr>
          <w:rFonts w:hint="default" w:ascii="仿宋_GB2312" w:hAnsi="仿宋_GB2312" w:eastAsia="仿宋_GB2312" w:cs="仿宋_GB2312"/>
          <w:color w:val="auto"/>
          <w:kern w:val="0"/>
          <w:sz w:val="32"/>
          <w:szCs w:val="32"/>
          <w:highlight w:val="none"/>
          <w:lang w:val="en-US" w:eastAsia="zh-CN" w:bidi="ar"/>
        </w:rPr>
        <w:t>已</w:t>
      </w:r>
      <w:r>
        <w:rPr>
          <w:rFonts w:hint="eastAsia" w:ascii="仿宋_GB2312" w:hAnsi="仿宋_GB2312" w:cs="仿宋_GB2312"/>
          <w:color w:val="auto"/>
          <w:kern w:val="0"/>
          <w:sz w:val="32"/>
          <w:szCs w:val="32"/>
          <w:highlight w:val="none"/>
          <w:lang w:val="en-US" w:eastAsia="zh-CN" w:bidi="ar"/>
        </w:rPr>
        <w:t>对</w:t>
      </w:r>
      <w:r>
        <w:rPr>
          <w:rFonts w:hint="default" w:ascii="仿宋_GB2312" w:hAnsi="仿宋_GB2312" w:eastAsia="仿宋_GB2312" w:cs="仿宋_GB2312"/>
          <w:color w:val="auto"/>
          <w:kern w:val="0"/>
          <w:sz w:val="32"/>
          <w:szCs w:val="32"/>
          <w:highlight w:val="none"/>
          <w:lang w:val="en-US" w:eastAsia="zh-CN" w:bidi="ar"/>
        </w:rPr>
        <w:t>77</w:t>
      </w:r>
      <w:r>
        <w:rPr>
          <w:rFonts w:hint="default" w:ascii="仿宋_GB2312" w:hAnsi="仿宋_GB2312" w:eastAsia="仿宋_GB2312" w:cs="仿宋_GB2312"/>
          <w:color w:val="auto"/>
          <w:kern w:val="0"/>
          <w:sz w:val="32"/>
          <w:szCs w:val="32"/>
          <w:highlight w:val="none"/>
          <w:lang w:eastAsia="zh-CN" w:bidi="ar"/>
        </w:rPr>
        <w:t>8</w:t>
      </w:r>
      <w:r>
        <w:rPr>
          <w:rFonts w:hint="default" w:ascii="仿宋_GB2312" w:hAnsi="仿宋_GB2312" w:eastAsia="仿宋_GB2312" w:cs="仿宋_GB2312"/>
          <w:color w:val="auto"/>
          <w:kern w:val="0"/>
          <w:sz w:val="32"/>
          <w:szCs w:val="32"/>
          <w:highlight w:val="none"/>
          <w:lang w:val="en-US" w:eastAsia="zh-CN" w:bidi="ar"/>
        </w:rPr>
        <w:t>家经营主体共6</w:t>
      </w:r>
      <w:r>
        <w:rPr>
          <w:rFonts w:hint="default" w:ascii="仿宋_GB2312" w:hAnsi="仿宋_GB2312" w:eastAsia="仿宋_GB2312" w:cs="仿宋_GB2312"/>
          <w:color w:val="auto"/>
          <w:kern w:val="0"/>
          <w:sz w:val="32"/>
          <w:szCs w:val="32"/>
          <w:highlight w:val="none"/>
          <w:lang w:eastAsia="zh-CN" w:bidi="ar"/>
        </w:rPr>
        <w:t>5080</w:t>
      </w:r>
      <w:r>
        <w:rPr>
          <w:rFonts w:hint="default" w:ascii="仿宋_GB2312" w:hAnsi="仿宋_GB2312" w:eastAsia="仿宋_GB2312" w:cs="仿宋_GB2312"/>
          <w:color w:val="auto"/>
          <w:kern w:val="0"/>
          <w:sz w:val="32"/>
          <w:szCs w:val="32"/>
          <w:highlight w:val="none"/>
          <w:lang w:val="en-US" w:eastAsia="zh-CN" w:bidi="ar"/>
        </w:rPr>
        <w:t>款无线电发射设备</w:t>
      </w:r>
      <w:r>
        <w:rPr>
          <w:rFonts w:hint="eastAsia" w:ascii="仿宋_GB2312" w:hAnsi="仿宋_GB2312" w:cs="仿宋_GB2312"/>
          <w:color w:val="auto"/>
          <w:kern w:val="0"/>
          <w:sz w:val="32"/>
          <w:szCs w:val="32"/>
          <w:highlight w:val="none"/>
          <w:lang w:val="en-US" w:eastAsia="zh-CN" w:bidi="ar"/>
        </w:rPr>
        <w:t>进行了销售备案；</w:t>
      </w:r>
      <w:r>
        <w:rPr>
          <w:rFonts w:hint="eastAsia" w:ascii="仿宋_GB2312" w:hAnsi="仿宋_GB2312" w:cs="仿宋_GB2312"/>
          <w:b/>
          <w:bCs/>
          <w:color w:val="auto"/>
          <w:kern w:val="0"/>
          <w:sz w:val="32"/>
          <w:szCs w:val="32"/>
          <w:highlight w:val="none"/>
          <w:lang w:val="en-US" w:eastAsia="zh-CN" w:bidi="ar"/>
        </w:rPr>
        <w:t>五是</w:t>
      </w:r>
      <w:r>
        <w:rPr>
          <w:rFonts w:hint="eastAsia" w:ascii="仿宋_GB2312" w:hAnsi="仿宋_GB2312" w:cs="仿宋_GB2312"/>
          <w:b w:val="0"/>
          <w:bCs w:val="0"/>
          <w:color w:val="auto"/>
          <w:kern w:val="0"/>
          <w:sz w:val="32"/>
          <w:szCs w:val="32"/>
          <w:highlight w:val="none"/>
          <w:lang w:val="en-US" w:eastAsia="zh-CN" w:bidi="ar"/>
        </w:rPr>
        <w:t>无线电发射设备销售巡检工作，市经信局对无线电干扰器等非法设备开展核查，下架处置49款在售非法无线电设备，按市委组织部要求将“考试作弊”设置为京东商城的禁搜词汇，2023年9月至11月组织京东公司对1022件非法无线电设备上架销售进行拦截。</w:t>
      </w:r>
    </w:p>
    <w:p>
      <w:pPr>
        <w:adjustRightInd w:val="0"/>
        <w:snapToGrid w:val="0"/>
        <w:spacing w:line="360" w:lineRule="auto"/>
        <w:ind w:firstLine="640" w:firstLineChars="200"/>
        <w:outlineLvl w:val="2"/>
        <w:rPr>
          <w:rFonts w:ascii="仿宋_GB2312" w:hAnsi="仿宋_GB2312" w:cs="仿宋_GB2312"/>
          <w:color w:val="auto"/>
          <w:sz w:val="32"/>
          <w:szCs w:val="32"/>
          <w:highlight w:val="none"/>
        </w:rPr>
      </w:pPr>
      <w:bookmarkStart w:id="127" w:name="_Toc30139"/>
      <w:bookmarkStart w:id="128" w:name="_Toc18750"/>
      <w:bookmarkStart w:id="129" w:name="_Toc15500"/>
      <w:r>
        <w:rPr>
          <w:rFonts w:hint="eastAsia" w:ascii="仿宋_GB2312" w:hAnsi="仿宋_GB2312" w:cs="仿宋_GB2312"/>
          <w:color w:val="auto"/>
          <w:sz w:val="32"/>
          <w:szCs w:val="32"/>
          <w:highlight w:val="none"/>
        </w:rPr>
        <w:t>2.产出质量</w:t>
      </w:r>
      <w:bookmarkEnd w:id="127"/>
      <w:bookmarkEnd w:id="128"/>
      <w:bookmarkEnd w:id="129"/>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color w:val="auto"/>
          <w:sz w:val="32"/>
          <w:szCs w:val="32"/>
          <w:highlight w:val="none"/>
        </w:rPr>
        <w:t>建设项目方面。</w:t>
      </w:r>
      <w:r>
        <w:rPr>
          <w:rFonts w:hint="eastAsia" w:ascii="仿宋_GB2312" w:hAnsi="仿宋_GB2312" w:cs="仿宋_GB2312"/>
          <w:color w:val="auto"/>
          <w:sz w:val="32"/>
          <w:szCs w:val="32"/>
          <w:highlight w:val="none"/>
          <w:lang w:val="en-US" w:eastAsia="zh-CN"/>
        </w:rPr>
        <w:t>机动式无线电监测技术能力提升项目、固定监测站升级改造项目、无线电管理网络信息安全防护能力提升项目等6个2022年度建设项目在2023年</w:t>
      </w:r>
      <w:r>
        <w:rPr>
          <w:rFonts w:hint="eastAsia" w:ascii="仿宋_GB2312" w:hAnsi="仿宋_GB2312" w:cs="仿宋_GB2312"/>
          <w:b w:val="0"/>
          <w:bCs/>
          <w:color w:val="auto"/>
          <w:sz w:val="32"/>
          <w:szCs w:val="32"/>
          <w:highlight w:val="none"/>
          <w:lang w:val="en-US" w:eastAsia="zh-CN"/>
        </w:rPr>
        <w:t>达到了验收条件，</w:t>
      </w:r>
      <w:r>
        <w:rPr>
          <w:rFonts w:hint="eastAsia" w:ascii="仿宋_GB2312" w:hAnsi="仿宋_GB2312" w:cs="仿宋_GB2312"/>
          <w:color w:val="auto"/>
          <w:sz w:val="32"/>
          <w:szCs w:val="32"/>
          <w:highlight w:val="none"/>
          <w:lang w:val="en-US" w:eastAsia="zh-CN"/>
        </w:rPr>
        <w:t>已于2023年通过验收，均符合验收质量要求。</w:t>
      </w:r>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color w:val="auto"/>
          <w:sz w:val="32"/>
          <w:szCs w:val="32"/>
          <w:highlight w:val="none"/>
        </w:rPr>
        <w:t>运行维护项目方面。</w:t>
      </w:r>
      <w:r>
        <w:rPr>
          <w:rFonts w:hint="eastAsia" w:ascii="仿宋_GB2312" w:hAnsi="仿宋_GB2312" w:cs="仿宋_GB2312"/>
          <w:color w:val="auto"/>
          <w:sz w:val="32"/>
          <w:szCs w:val="32"/>
          <w:highlight w:val="none"/>
        </w:rPr>
        <w:t>服务商对技术设备和通用设备等进行运维，过程中发现故障问题的设备经过现场或返厂维修，</w:t>
      </w:r>
      <w:r>
        <w:rPr>
          <w:rFonts w:hint="eastAsia" w:ascii="仿宋_GB2312" w:hAnsi="仿宋_GB2312" w:cs="仿宋_GB2312"/>
          <w:color w:val="auto"/>
          <w:sz w:val="32"/>
          <w:szCs w:val="32"/>
          <w:highlight w:val="none"/>
          <w:lang w:val="en-US" w:eastAsia="zh-CN"/>
        </w:rPr>
        <w:t>除因设备型号老旧，厂家已无维修备件，设备无法修复和因水灾等原因停用外</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现场核查设备均可正常使用，设备完好率为100%，运维工作符合质量要求；国家无线电监测中心检测中心对无线电监测站3台监测接收机</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4个无线电监测测向系统</w:t>
      </w:r>
      <w:r>
        <w:rPr>
          <w:rFonts w:hint="eastAsia" w:ascii="仿宋_GB2312" w:hAnsi="仿宋_GB2312" w:cs="仿宋_GB2312"/>
          <w:color w:val="auto"/>
          <w:sz w:val="32"/>
          <w:szCs w:val="32"/>
          <w:highlight w:val="none"/>
        </w:rPr>
        <w:t>进行了测试验证，测试数据符合相应标准，测试验证流程符合国家要求，出具相应测试验证报告。</w:t>
      </w:r>
    </w:p>
    <w:p>
      <w:pPr>
        <w:adjustRightInd w:val="0"/>
        <w:snapToGrid w:val="0"/>
        <w:spacing w:line="360" w:lineRule="auto"/>
        <w:ind w:firstLine="643" w:firstLineChars="200"/>
        <w:rPr>
          <w:rFonts w:hint="eastAsia" w:ascii="仿宋_GB2312" w:hAnsi="仿宋_GB2312" w:cs="仿宋_GB2312"/>
          <w:b w:val="0"/>
          <w:bCs w:val="0"/>
          <w:color w:val="auto"/>
          <w:sz w:val="32"/>
          <w:szCs w:val="32"/>
          <w:highlight w:val="none"/>
          <w:lang w:val="en-US" w:eastAsia="zh-CN"/>
        </w:rPr>
      </w:pPr>
      <w:r>
        <w:rPr>
          <w:rFonts w:hint="eastAsia" w:ascii="仿宋_GB2312" w:hAnsi="仿宋_GB2312" w:cs="仿宋_GB2312"/>
          <w:b/>
          <w:bCs/>
          <w:color w:val="auto"/>
          <w:sz w:val="32"/>
          <w:szCs w:val="32"/>
          <w:highlight w:val="none"/>
        </w:rPr>
        <w:t>专项监管及其他支出项目方面。</w:t>
      </w:r>
      <w:r>
        <w:rPr>
          <w:rFonts w:hint="eastAsia" w:ascii="仿宋_GB2312" w:hAnsi="仿宋_GB2312" w:cs="仿宋_GB2312"/>
          <w:b w:val="0"/>
          <w:bCs w:val="0"/>
          <w:color w:val="auto"/>
          <w:sz w:val="32"/>
          <w:szCs w:val="32"/>
          <w:highlight w:val="none"/>
          <w:lang w:val="en-US" w:eastAsia="zh-CN"/>
        </w:rPr>
        <w:t>2023年无线电监督检查处共受理无线电领域投诉举报133起，处理行政执法案件共6起；完成了民航、铁路、黑广播等43次干扰查处；完成了2023年司法、高考、中央和北京公务员考试等重要考试保障工作；2023年累计出动人员70余人次，动用监测设备70台套，累计监测时长5000余小时，监测疑似“黑广播”信号23个；完成了2023年日常监测工作。</w:t>
      </w:r>
    </w:p>
    <w:p>
      <w:pPr>
        <w:adjustRightInd w:val="0"/>
        <w:snapToGrid w:val="0"/>
        <w:spacing w:line="360" w:lineRule="auto"/>
        <w:ind w:firstLine="643" w:firstLineChars="200"/>
        <w:rPr>
          <w:rFonts w:ascii="仿宋_GB2312"/>
          <w:color w:val="auto"/>
          <w:sz w:val="32"/>
          <w:szCs w:val="32"/>
          <w:highlight w:val="none"/>
        </w:rPr>
      </w:pPr>
      <w:r>
        <w:rPr>
          <w:rFonts w:hint="eastAsia" w:ascii="仿宋_GB2312" w:hAnsi="仿宋_GB2312" w:cs="仿宋_GB2312"/>
          <w:b/>
          <w:color w:val="auto"/>
          <w:sz w:val="32"/>
          <w:szCs w:val="32"/>
          <w:highlight w:val="none"/>
        </w:rPr>
        <w:t>无线电设备核准测试项目方面。</w:t>
      </w:r>
      <w:r>
        <w:rPr>
          <w:rFonts w:hint="eastAsia" w:ascii="仿宋_GB2312" w:hAnsi="仿宋_GB2312" w:cs="仿宋_GB2312"/>
          <w:color w:val="auto"/>
          <w:sz w:val="32"/>
          <w:szCs w:val="32"/>
          <w:highlight w:val="none"/>
        </w:rPr>
        <w:t>开展了“双随机一公开”抽查和</w:t>
      </w:r>
      <w:r>
        <w:rPr>
          <w:rFonts w:hint="eastAsia" w:ascii="仿宋_GB2312" w:hAnsi="仿宋_GB2312" w:cs="仿宋_GB2312"/>
          <w:color w:val="auto"/>
          <w:sz w:val="32"/>
          <w:szCs w:val="32"/>
          <w:highlight w:val="none"/>
          <w:lang w:val="en-US" w:eastAsia="zh-CN"/>
        </w:rPr>
        <w:t>销售</w:t>
      </w:r>
      <w:r>
        <w:rPr>
          <w:rFonts w:hint="eastAsia" w:ascii="仿宋_GB2312" w:hAnsi="仿宋_GB2312" w:cs="仿宋_GB2312"/>
          <w:color w:val="auto"/>
          <w:sz w:val="32"/>
          <w:szCs w:val="32"/>
          <w:highlight w:val="none"/>
        </w:rPr>
        <w:t>巡检等无线电发射设备核准相关工作，</w:t>
      </w:r>
      <w:r>
        <w:rPr>
          <w:rFonts w:hint="eastAsia" w:ascii="宋体" w:hAnsi="宋体" w:cs="仿宋_GB2312"/>
          <w:color w:val="auto"/>
          <w:kern w:val="0"/>
          <w:sz w:val="32"/>
          <w:szCs w:val="32"/>
          <w:highlight w:val="none"/>
          <w:lang w:bidi="ar"/>
        </w:rPr>
        <w:t>为加强无线电发射设备管理、建立完善日常监督检查制度、维护空中电波秩序提供了支撑</w:t>
      </w:r>
      <w:r>
        <w:rPr>
          <w:rFonts w:hint="eastAsia" w:ascii="仿宋_GB2312" w:hAnsi="仿宋_GB2312" w:cs="仿宋_GB2312"/>
          <w:color w:val="auto"/>
          <w:sz w:val="32"/>
          <w:szCs w:val="32"/>
          <w:highlight w:val="none"/>
        </w:rPr>
        <w:t>。</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30" w:name="_Toc9032"/>
      <w:bookmarkStart w:id="131" w:name="_Toc5007"/>
      <w:bookmarkStart w:id="132" w:name="_Toc18458"/>
      <w:r>
        <w:rPr>
          <w:rFonts w:hint="eastAsia" w:ascii="仿宋_GB2312" w:hAnsi="仿宋_GB2312" w:cs="仿宋_GB2312"/>
          <w:iCs/>
          <w:color w:val="auto"/>
          <w:sz w:val="32"/>
          <w:szCs w:val="32"/>
          <w:highlight w:val="none"/>
        </w:rPr>
        <w:t>3.产出时效</w:t>
      </w:r>
      <w:bookmarkEnd w:id="130"/>
      <w:bookmarkEnd w:id="131"/>
      <w:bookmarkEnd w:id="132"/>
    </w:p>
    <w:p>
      <w:pPr>
        <w:adjustRightInd w:val="0"/>
        <w:snapToGrid w:val="0"/>
        <w:spacing w:line="360" w:lineRule="auto"/>
        <w:ind w:firstLine="643" w:firstLineChars="200"/>
        <w:rPr>
          <w:rFonts w:hint="eastAsia" w:ascii="仿宋_GB2312" w:hAnsi="仿宋_GB2312" w:eastAsia="仿宋_GB2312" w:cs="仿宋_GB2312"/>
          <w:color w:val="auto"/>
          <w:sz w:val="32"/>
          <w:szCs w:val="32"/>
          <w:highlight w:val="none"/>
          <w:lang w:val="en-US" w:eastAsia="zh-CN"/>
        </w:rPr>
      </w:pPr>
      <w:r>
        <w:rPr>
          <w:rFonts w:hint="eastAsia" w:ascii="仿宋_GB2312" w:hAnsi="仿宋_GB2312" w:cs="仿宋_GB2312"/>
          <w:b/>
          <w:bCs/>
          <w:color w:val="auto"/>
          <w:sz w:val="32"/>
          <w:szCs w:val="32"/>
          <w:highlight w:val="none"/>
        </w:rPr>
        <w:t>建设项目方面。</w:t>
      </w:r>
      <w:r>
        <w:rPr>
          <w:rFonts w:hint="eastAsia" w:ascii="仿宋_GB2312" w:hAnsi="仿宋_GB2312" w:cs="仿宋_GB2312"/>
          <w:b w:val="0"/>
          <w:bCs w:val="0"/>
          <w:color w:val="auto"/>
          <w:sz w:val="32"/>
          <w:szCs w:val="32"/>
          <w:highlight w:val="none"/>
          <w:lang w:val="en-US" w:eastAsia="zh-CN"/>
        </w:rPr>
        <w:t>需在2023年完成的建设项目共10个，其中拟在2023年完成的2022年度建设项目6个，2023年度建设项目4个。2022年度建设项目已于2023年按计划完成。2023年4个建设项目中，无线电安全保障管控能力提升、频谱资源动态分析与决策支撑、固定监测站覆盖能力提升3个项目的建设期均为2023—2024年，正在按计划序时开展，无线电监测数据资源池融合分析项目建设期为2023年，</w:t>
      </w:r>
      <w:r>
        <w:rPr>
          <w:rFonts w:hint="eastAsia" w:ascii="仿宋_GB2312" w:hAnsi="仿宋_GB2312" w:cs="仿宋_GB2312"/>
          <w:color w:val="auto"/>
          <w:sz w:val="32"/>
          <w:szCs w:val="32"/>
          <w:highlight w:val="none"/>
          <w:lang w:val="en-US" w:eastAsia="zh-CN"/>
        </w:rPr>
        <w:t>已完成了实施方案的撰写。</w:t>
      </w:r>
    </w:p>
    <w:p>
      <w:pPr>
        <w:adjustRightInd w:val="0"/>
        <w:snapToGrid w:val="0"/>
        <w:spacing w:line="360" w:lineRule="auto"/>
        <w:ind w:firstLine="643" w:firstLineChars="200"/>
        <w:rPr>
          <w:rFonts w:hint="eastAsia" w:ascii="仿宋_GB2312" w:hAnsi="仿宋_GB2312" w:cs="仿宋_GB2312"/>
          <w:color w:val="auto"/>
          <w:sz w:val="32"/>
          <w:szCs w:val="32"/>
          <w:highlight w:val="none"/>
          <w:lang w:val="en-US" w:eastAsia="zh-CN"/>
        </w:rPr>
      </w:pPr>
      <w:r>
        <w:rPr>
          <w:rFonts w:hint="eastAsia" w:ascii="仿宋_GB2312" w:hAnsi="仿宋_GB2312" w:cs="仿宋_GB2312"/>
          <w:b/>
          <w:bCs/>
          <w:color w:val="auto"/>
          <w:sz w:val="32"/>
          <w:szCs w:val="32"/>
          <w:highlight w:val="none"/>
        </w:rPr>
        <w:t>运行维护项目</w:t>
      </w:r>
      <w:r>
        <w:rPr>
          <w:rFonts w:hint="eastAsia" w:ascii="仿宋_GB2312" w:hAnsi="仿宋_GB2312" w:cs="仿宋_GB2312"/>
          <w:b/>
          <w:bCs/>
          <w:color w:val="auto"/>
          <w:sz w:val="32"/>
          <w:szCs w:val="32"/>
          <w:highlight w:val="none"/>
          <w:lang w:eastAsia="zh-CN"/>
        </w:rPr>
        <w:t>。</w:t>
      </w:r>
      <w:r>
        <w:rPr>
          <w:rFonts w:hint="eastAsia" w:ascii="仿宋_GB2312" w:hAnsi="仿宋_GB2312" w:cs="仿宋_GB2312"/>
          <w:color w:val="auto"/>
          <w:sz w:val="32"/>
          <w:szCs w:val="32"/>
          <w:highlight w:val="none"/>
        </w:rPr>
        <w:t>市经信局无线电设备发生故障后及时报修，工作及时性符合质量和时效要求，如</w:t>
      </w:r>
      <w:r>
        <w:rPr>
          <w:rFonts w:hint="eastAsia" w:ascii="仿宋_GB2312" w:hAnsi="仿宋_GB2312" w:cs="仿宋_GB2312"/>
          <w:color w:val="auto"/>
          <w:sz w:val="32"/>
          <w:szCs w:val="32"/>
          <w:highlight w:val="none"/>
          <w:lang w:val="en-US" w:eastAsia="zh-CN"/>
        </w:rPr>
        <w:t>2023年3月31日北务分站厂区施工过程中电缆线被挖断导致断电，更换新电池后恢复供电；2023年4月11日，建达大厦中心因无线网络信号问题导致连接不稳定，更换网络信道后，信号得以加强。</w:t>
      </w:r>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bCs/>
          <w:color w:val="auto"/>
          <w:sz w:val="32"/>
          <w:szCs w:val="32"/>
          <w:highlight w:val="none"/>
        </w:rPr>
        <w:t>专项监管及其他支出项目方面。</w:t>
      </w:r>
      <w:r>
        <w:rPr>
          <w:rFonts w:hint="eastAsia" w:ascii="仿宋_GB2312" w:hAnsi="仿宋_GB2312" w:cs="仿宋_GB2312"/>
          <w:color w:val="auto"/>
          <w:sz w:val="32"/>
          <w:szCs w:val="32"/>
          <w:highlight w:val="none"/>
        </w:rPr>
        <w:t>日常监测工作方面，响应机制迅速，设置干扰排查任务单，及时处置并形成反馈闭环</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工作内容报送方面，市经信局及时向工信部无管局报送</w:t>
      </w:r>
      <w:r>
        <w:rPr>
          <w:rFonts w:hint="eastAsia" w:ascii="仿宋_GB2312" w:hAnsi="仿宋_GB2312" w:cs="仿宋_GB2312"/>
          <w:color w:val="auto"/>
          <w:sz w:val="32"/>
          <w:szCs w:val="32"/>
          <w:highlight w:val="none"/>
          <w:lang w:val="en-US" w:eastAsia="zh-CN"/>
        </w:rPr>
        <w:t>打击“黑广播”“伪基站”</w:t>
      </w:r>
      <w:r>
        <w:rPr>
          <w:rFonts w:hint="eastAsia" w:ascii="仿宋_GB2312" w:hAnsi="仿宋_GB2312" w:cs="仿宋_GB2312"/>
          <w:color w:val="auto"/>
          <w:sz w:val="32"/>
          <w:szCs w:val="32"/>
          <w:highlight w:val="none"/>
        </w:rPr>
        <w:t>等工作开展情况；重大活动保障干扰排查方面，市经信局及监测站及时排除，确保无线电安全，</w:t>
      </w:r>
      <w:r>
        <w:rPr>
          <w:rFonts w:hint="eastAsia" w:ascii="仿宋_GB2312" w:hAnsi="仿宋_GB2312" w:cs="仿宋_GB2312"/>
          <w:color w:val="auto"/>
          <w:sz w:val="32"/>
          <w:szCs w:val="32"/>
          <w:highlight w:val="none"/>
          <w:lang w:val="en-US" w:eastAsia="zh-CN"/>
        </w:rPr>
        <w:t>如全国“两会”期间，市经信局按照工信部要求，</w:t>
      </w:r>
      <w:r>
        <w:rPr>
          <w:rFonts w:ascii="仿宋_GB2312" w:hAnsi="Times New Roman" w:eastAsia="仿宋_GB2312" w:cs="仿宋_GB2312"/>
          <w:color w:val="auto"/>
          <w:sz w:val="32"/>
          <w:szCs w:val="32"/>
          <w:highlight w:val="none"/>
        </w:rPr>
        <w:t>开展了</w:t>
      </w:r>
      <w:r>
        <w:rPr>
          <w:rFonts w:hint="eastAsia" w:ascii="仿宋_GB2312" w:hAnsi="Times New Roman" w:eastAsia="仿宋_GB2312" w:cs="仿宋_GB2312"/>
          <w:color w:val="auto"/>
          <w:sz w:val="32"/>
          <w:szCs w:val="32"/>
          <w:highlight w:val="none"/>
        </w:rPr>
        <w:t>集中</w:t>
      </w:r>
      <w:r>
        <w:rPr>
          <w:rFonts w:ascii="仿宋_GB2312" w:hAnsi="Times New Roman" w:eastAsia="仿宋_GB2312" w:cs="仿宋_GB2312"/>
          <w:color w:val="auto"/>
          <w:sz w:val="32"/>
          <w:szCs w:val="32"/>
          <w:highlight w:val="none"/>
        </w:rPr>
        <w:t>打击治理“黑广播”“伪基站”违法犯罪专项行动</w:t>
      </w:r>
      <w:r>
        <w:rPr>
          <w:rFonts w:hint="eastAsia" w:ascii="仿宋_GB2312" w:hAnsi="Times New Roman" w:cs="仿宋_GB2312"/>
          <w:color w:val="auto"/>
          <w:sz w:val="32"/>
          <w:szCs w:val="32"/>
          <w:highlight w:val="none"/>
          <w:lang w:eastAsia="zh-CN"/>
        </w:rPr>
        <w:t>，</w:t>
      </w:r>
      <w:r>
        <w:rPr>
          <w:rFonts w:hint="eastAsia" w:ascii="仿宋_GB2312" w:eastAsia="仿宋_GB2312"/>
          <w:color w:val="auto"/>
          <w:sz w:val="32"/>
          <w:szCs w:val="32"/>
          <w:highlight w:val="none"/>
        </w:rPr>
        <w:t>监测疑似“黑广播”信号</w:t>
      </w:r>
      <w:r>
        <w:rPr>
          <w:rFonts w:ascii="仿宋_GB2312" w:hAnsi="仿宋" w:eastAsia="仿宋_GB2312"/>
          <w:color w:val="auto"/>
          <w:sz w:val="32"/>
          <w:szCs w:val="32"/>
          <w:highlight w:val="none"/>
        </w:rPr>
        <w:t>12个</w:t>
      </w:r>
      <w:r>
        <w:rPr>
          <w:rFonts w:hint="eastAsia" w:ascii="仿宋_GB2312" w:hAnsi="仿宋"/>
          <w:color w:val="auto"/>
          <w:sz w:val="32"/>
          <w:szCs w:val="32"/>
          <w:highlight w:val="none"/>
          <w:lang w:eastAsia="zh-CN"/>
        </w:rPr>
        <w:t>，</w:t>
      </w:r>
      <w:r>
        <w:rPr>
          <w:rFonts w:hint="eastAsia" w:ascii="仿宋_GB2312" w:hAnsi="仿宋"/>
          <w:color w:val="auto"/>
          <w:sz w:val="32"/>
          <w:szCs w:val="32"/>
          <w:highlight w:val="none"/>
          <w:lang w:val="en-US" w:eastAsia="zh-CN"/>
        </w:rPr>
        <w:t>保障了全国“两会”的顺利进行。</w:t>
      </w:r>
    </w:p>
    <w:p>
      <w:pPr>
        <w:adjustRightInd w:val="0"/>
        <w:snapToGrid w:val="0"/>
        <w:spacing w:line="360" w:lineRule="auto"/>
        <w:ind w:firstLine="643" w:firstLineChars="200"/>
        <w:rPr>
          <w:rFonts w:hint="eastAsia" w:ascii="仿宋_GB2312" w:hAnsi="仿宋_GB2312" w:cs="仿宋_GB2312"/>
          <w:color w:val="auto"/>
          <w:sz w:val="32"/>
          <w:szCs w:val="32"/>
          <w:highlight w:val="none"/>
        </w:rPr>
      </w:pPr>
      <w:r>
        <w:rPr>
          <w:rFonts w:hint="eastAsia" w:ascii="仿宋_GB2312" w:hAnsi="仿宋_GB2312" w:cs="仿宋_GB2312"/>
          <w:b/>
          <w:color w:val="auto"/>
          <w:sz w:val="32"/>
          <w:szCs w:val="32"/>
          <w:highlight w:val="none"/>
        </w:rPr>
        <w:t>无线电</w:t>
      </w:r>
      <w:r>
        <w:rPr>
          <w:rFonts w:hint="eastAsia" w:ascii="仿宋_GB2312" w:hAnsi="仿宋_GB2312" w:cs="仿宋_GB2312"/>
          <w:b/>
          <w:color w:val="auto"/>
          <w:sz w:val="32"/>
          <w:szCs w:val="32"/>
          <w:highlight w:val="none"/>
          <w:lang w:val="en-US" w:eastAsia="zh-CN"/>
        </w:rPr>
        <w:t>发射</w:t>
      </w:r>
      <w:r>
        <w:rPr>
          <w:rFonts w:hint="eastAsia" w:ascii="仿宋_GB2312" w:hAnsi="仿宋_GB2312" w:cs="仿宋_GB2312"/>
          <w:b/>
          <w:color w:val="auto"/>
          <w:sz w:val="32"/>
          <w:szCs w:val="32"/>
          <w:highlight w:val="none"/>
        </w:rPr>
        <w:t>设备</w:t>
      </w:r>
      <w:r>
        <w:rPr>
          <w:rFonts w:hint="eastAsia" w:ascii="仿宋_GB2312" w:hAnsi="仿宋_GB2312" w:cs="仿宋_GB2312"/>
          <w:b/>
          <w:color w:val="auto"/>
          <w:sz w:val="32"/>
          <w:szCs w:val="32"/>
          <w:highlight w:val="none"/>
          <w:lang w:val="en-US" w:eastAsia="zh-CN"/>
        </w:rPr>
        <w:t>型号</w:t>
      </w:r>
      <w:r>
        <w:rPr>
          <w:rFonts w:hint="eastAsia" w:ascii="仿宋_GB2312" w:hAnsi="仿宋_GB2312" w:cs="仿宋_GB2312"/>
          <w:b/>
          <w:color w:val="auto"/>
          <w:sz w:val="32"/>
          <w:szCs w:val="32"/>
          <w:highlight w:val="none"/>
        </w:rPr>
        <w:t>核准测试项目</w:t>
      </w:r>
      <w:r>
        <w:rPr>
          <w:rFonts w:hint="eastAsia" w:ascii="仿宋_GB2312" w:hAnsi="仿宋_GB2312" w:cs="仿宋_GB2312"/>
          <w:b/>
          <w:color w:val="auto"/>
          <w:sz w:val="32"/>
          <w:szCs w:val="32"/>
          <w:highlight w:val="none"/>
          <w:lang w:val="en-US" w:eastAsia="zh-CN"/>
        </w:rPr>
        <w:t>和设备管理工作</w:t>
      </w:r>
      <w:r>
        <w:rPr>
          <w:rFonts w:hint="eastAsia" w:ascii="仿宋_GB2312" w:hAnsi="仿宋_GB2312" w:cs="仿宋_GB2312"/>
          <w:b/>
          <w:color w:val="auto"/>
          <w:sz w:val="32"/>
          <w:szCs w:val="32"/>
          <w:highlight w:val="none"/>
        </w:rPr>
        <w:t>方面。</w:t>
      </w:r>
      <w:r>
        <w:rPr>
          <w:rFonts w:hint="eastAsia" w:ascii="仿宋_GB2312" w:hAnsi="仿宋_GB2312" w:cs="仿宋_GB2312"/>
          <w:b w:val="0"/>
          <w:bCs/>
          <w:color w:val="auto"/>
          <w:sz w:val="32"/>
          <w:szCs w:val="32"/>
          <w:highlight w:val="none"/>
          <w:lang w:val="en-US" w:eastAsia="zh-CN"/>
        </w:rPr>
        <w:t>按照工信部部署安排，及时完</w:t>
      </w:r>
      <w:r>
        <w:rPr>
          <w:rFonts w:hint="eastAsia" w:ascii="仿宋_GB2312" w:hAnsi="仿宋_GB2312" w:cs="仿宋_GB2312"/>
          <w:b w:val="0"/>
          <w:bCs w:val="0"/>
          <w:color w:val="auto"/>
          <w:sz w:val="32"/>
          <w:szCs w:val="32"/>
          <w:highlight w:val="none"/>
          <w:lang w:val="en-US" w:eastAsia="zh-CN"/>
        </w:rPr>
        <w:t>成了2022年无线电发射设备型号核准测试、核准取证后双随机抽查、无线电发射设备销售备案和巡检等工作，2023年</w:t>
      </w:r>
      <w:r>
        <w:rPr>
          <w:rFonts w:hint="eastAsia" w:ascii="仿宋_GB2312" w:hAnsi="仿宋_GB2312" w:cs="仿宋_GB2312"/>
          <w:b w:val="0"/>
          <w:bCs w:val="0"/>
          <w:color w:val="auto"/>
          <w:sz w:val="32"/>
          <w:szCs w:val="32"/>
          <w:highlight w:val="none"/>
        </w:rPr>
        <w:t>无线电设备核准测试项目</w:t>
      </w:r>
      <w:r>
        <w:rPr>
          <w:rFonts w:hint="eastAsia" w:ascii="仿宋_GB2312" w:hAnsi="仿宋_GB2312" w:cs="仿宋_GB2312"/>
          <w:b w:val="0"/>
          <w:bCs w:val="0"/>
          <w:color w:val="auto"/>
          <w:sz w:val="32"/>
          <w:szCs w:val="32"/>
          <w:highlight w:val="none"/>
          <w:lang w:val="en-US" w:eastAsia="zh-CN"/>
        </w:rPr>
        <w:t>的招投标、方案撰写等工作按照工作计划已完成，有效保障了</w:t>
      </w:r>
      <w:r>
        <w:rPr>
          <w:rFonts w:hint="eastAsia" w:ascii="仿宋_GB2312" w:hAnsi="仿宋_GB2312" w:cs="仿宋_GB2312"/>
          <w:color w:val="auto"/>
          <w:sz w:val="32"/>
          <w:szCs w:val="32"/>
          <w:highlight w:val="none"/>
          <w:lang w:val="en-US" w:eastAsia="zh-CN"/>
        </w:rPr>
        <w:t>2024年无线电发射设备型号核准测试任务正常运行</w:t>
      </w:r>
      <w:r>
        <w:rPr>
          <w:rFonts w:hint="eastAsia" w:ascii="仿宋_GB2312" w:hAnsi="仿宋_GB2312" w:cs="仿宋_GB2312"/>
          <w:bCs w:val="0"/>
          <w:color w:val="auto"/>
          <w:sz w:val="32"/>
          <w:szCs w:val="32"/>
          <w:highlight w:val="none"/>
          <w:lang w:val="en-US" w:eastAsia="zh-CN"/>
        </w:rPr>
        <w:t>。</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33" w:name="_Toc2150"/>
      <w:bookmarkStart w:id="134" w:name="_Toc26397"/>
      <w:bookmarkStart w:id="135" w:name="_Toc25691"/>
      <w:r>
        <w:rPr>
          <w:rFonts w:hint="eastAsia" w:ascii="仿宋_GB2312" w:hAnsi="仿宋_GB2312" w:cs="仿宋_GB2312"/>
          <w:iCs/>
          <w:color w:val="auto"/>
          <w:sz w:val="32"/>
          <w:szCs w:val="32"/>
          <w:highlight w:val="none"/>
        </w:rPr>
        <w:t>4.产出成本</w:t>
      </w:r>
      <w:bookmarkEnd w:id="133"/>
      <w:bookmarkEnd w:id="134"/>
      <w:bookmarkEnd w:id="135"/>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年项目合同</w:t>
      </w:r>
      <w:r>
        <w:rPr>
          <w:rFonts w:hint="eastAsia" w:ascii="仿宋_GB2312" w:hAnsi="仿宋_GB2312" w:cs="仿宋_GB2312"/>
          <w:color w:val="auto"/>
          <w:sz w:val="32"/>
          <w:szCs w:val="32"/>
          <w:highlight w:val="none"/>
          <w:lang w:val="en-US" w:eastAsia="zh-CN"/>
        </w:rPr>
        <w:t>预算</w:t>
      </w:r>
      <w:r>
        <w:rPr>
          <w:rFonts w:hint="eastAsia" w:ascii="仿宋_GB2312" w:hAnsi="仿宋_GB2312" w:cs="仿宋_GB2312"/>
          <w:color w:val="auto"/>
          <w:sz w:val="32"/>
          <w:szCs w:val="32"/>
          <w:highlight w:val="none"/>
        </w:rPr>
        <w:t>成本12671.5万元，</w:t>
      </w:r>
      <w:r>
        <w:rPr>
          <w:rFonts w:hint="eastAsia" w:ascii="仿宋_GB2312" w:hAnsi="仿宋_GB2312" w:cs="仿宋_GB2312"/>
          <w:color w:val="auto"/>
          <w:sz w:val="32"/>
          <w:szCs w:val="32"/>
          <w:highlight w:val="none"/>
          <w:lang w:val="en-US" w:eastAsia="zh-CN"/>
        </w:rPr>
        <w:t>合同成本</w:t>
      </w:r>
      <w:r>
        <w:rPr>
          <w:rFonts w:hint="eastAsia" w:ascii="仿宋_GB2312" w:hAnsi="仿宋_GB2312" w:cs="仿宋_GB2312"/>
          <w:color w:val="auto"/>
          <w:sz w:val="32"/>
          <w:szCs w:val="32"/>
          <w:highlight w:val="none"/>
        </w:rPr>
        <w:t>为12239.502万元，成本控制率为</w:t>
      </w:r>
      <w:r>
        <w:rPr>
          <w:rFonts w:hint="eastAsia" w:ascii="仿宋_GB2312" w:hAnsi="仿宋_GB2312" w:cs="仿宋_GB2312"/>
          <w:color w:val="auto"/>
          <w:sz w:val="32"/>
          <w:szCs w:val="32"/>
          <w:highlight w:val="none"/>
          <w:lang w:val="en-US" w:eastAsia="zh-CN"/>
        </w:rPr>
        <w:t>3.41</w:t>
      </w:r>
      <w:r>
        <w:rPr>
          <w:rFonts w:hint="eastAsia" w:ascii="仿宋_GB2312" w:hAnsi="仿宋_GB2312" w:cs="仿宋_GB2312"/>
          <w:color w:val="auto"/>
          <w:sz w:val="32"/>
          <w:szCs w:val="32"/>
          <w:highlight w:val="none"/>
        </w:rPr>
        <w:t>%</w:t>
      </w:r>
      <w:r>
        <w:rPr>
          <w:rStyle w:val="21"/>
          <w:rFonts w:hint="eastAsia" w:ascii="仿宋_GB2312" w:hAnsi="仿宋_GB2312" w:cs="仿宋_GB2312"/>
          <w:color w:val="auto"/>
          <w:sz w:val="32"/>
          <w:szCs w:val="32"/>
          <w:highlight w:val="none"/>
        </w:rPr>
        <w:footnoteReference w:id="1"/>
      </w:r>
      <w:r>
        <w:rPr>
          <w:rFonts w:hint="eastAsia" w:ascii="仿宋_GB2312" w:hAnsi="仿宋_GB2312" w:cs="仿宋_GB2312"/>
          <w:color w:val="auto"/>
          <w:sz w:val="32"/>
          <w:szCs w:val="32"/>
          <w:highlight w:val="none"/>
        </w:rPr>
        <w:t>，成本控制情况良好。</w:t>
      </w:r>
    </w:p>
    <w:p>
      <w:pPr>
        <w:adjustRightInd w:val="0"/>
        <w:snapToGrid w:val="0"/>
        <w:spacing w:line="360" w:lineRule="auto"/>
        <w:ind w:firstLine="640" w:firstLineChars="200"/>
        <w:outlineLvl w:val="1"/>
        <w:rPr>
          <w:rFonts w:ascii="楷体_GB2312" w:hAnsi="楷体" w:eastAsia="楷体_GB2312"/>
          <w:bCs/>
          <w:color w:val="auto"/>
          <w:sz w:val="32"/>
          <w:szCs w:val="32"/>
          <w:highlight w:val="none"/>
        </w:rPr>
      </w:pPr>
      <w:bookmarkStart w:id="136" w:name="_Toc18622"/>
      <w:bookmarkStart w:id="137" w:name="_Toc32245"/>
      <w:bookmarkStart w:id="138" w:name="_Toc24535"/>
      <w:bookmarkStart w:id="139" w:name="_Toc55475194"/>
      <w:bookmarkStart w:id="140" w:name="_Toc11522"/>
      <w:r>
        <w:rPr>
          <w:rFonts w:hint="eastAsia" w:ascii="楷体_GB2312" w:hAnsi="楷体" w:eastAsia="楷体_GB2312"/>
          <w:bCs/>
          <w:color w:val="auto"/>
          <w:sz w:val="32"/>
          <w:szCs w:val="32"/>
          <w:highlight w:val="none"/>
        </w:rPr>
        <w:t>（四）效益情况分析</w:t>
      </w:r>
      <w:bookmarkEnd w:id="136"/>
      <w:bookmarkEnd w:id="137"/>
      <w:bookmarkEnd w:id="138"/>
      <w:bookmarkEnd w:id="139"/>
      <w:bookmarkEnd w:id="140"/>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通过项目实施，在社会效益、经济效益、可持续影响和满意度等方面均取得明显的项目效益。</w:t>
      </w:r>
      <w:r>
        <w:rPr>
          <w:rFonts w:hint="eastAsia" w:ascii="仿宋_GB2312" w:hAnsi="仿宋_GB2312" w:cs="仿宋_GB2312"/>
          <w:b/>
          <w:color w:val="auto"/>
          <w:sz w:val="32"/>
          <w:szCs w:val="32"/>
          <w:highlight w:val="none"/>
        </w:rPr>
        <w:t>一是社会效益方面，</w:t>
      </w:r>
      <w:r>
        <w:rPr>
          <w:rFonts w:hint="eastAsia" w:ascii="仿宋_GB2312" w:hAnsi="仿宋_GB2312" w:cs="仿宋_GB2312"/>
          <w:b w:val="0"/>
          <w:bCs/>
          <w:color w:val="auto"/>
          <w:sz w:val="32"/>
          <w:szCs w:val="32"/>
          <w:highlight w:val="none"/>
          <w:lang w:val="en-US" w:eastAsia="zh-CN"/>
        </w:rPr>
        <w:t>2023年，市经信局和监测站通过开展技术演练、业务培训、设备购置、技术设施建设等活动，有效提升了监测能力、机动能力、管制能力、检测能力、信息化水平等多方面的无线电管理技术设施能力</w:t>
      </w:r>
      <w:r>
        <w:rPr>
          <w:rFonts w:hint="eastAsia" w:ascii="仿宋_GB2312" w:hAnsi="仿宋_GB2312" w:cs="仿宋_GB2312"/>
          <w:color w:val="auto"/>
          <w:sz w:val="32"/>
          <w:szCs w:val="32"/>
          <w:highlight w:val="none"/>
        </w:rPr>
        <w:t>；保障了</w:t>
      </w:r>
      <w:r>
        <w:rPr>
          <w:rFonts w:hint="eastAsia" w:ascii="仿宋_GB2312" w:hAnsi="仿宋_GB2312" w:cs="仿宋_GB2312"/>
          <w:color w:val="auto"/>
          <w:sz w:val="32"/>
          <w:szCs w:val="32"/>
          <w:highlight w:val="none"/>
          <w:lang w:val="en-US" w:eastAsia="zh-CN"/>
        </w:rPr>
        <w:t>全国“两会”</w:t>
      </w:r>
      <w:r>
        <w:rPr>
          <w:rFonts w:hint="eastAsia" w:ascii="仿宋_GB2312" w:hAnsi="仿宋_GB2312" w:cs="仿宋_GB2312"/>
          <w:color w:val="auto"/>
          <w:sz w:val="32"/>
          <w:szCs w:val="32"/>
          <w:highlight w:val="none"/>
        </w:rPr>
        <w:t>等重要活动和中央国家机关公务员等重要考试的无线电安全；</w:t>
      </w:r>
      <w:r>
        <w:rPr>
          <w:rFonts w:hint="eastAsia" w:ascii="仿宋_GB2312" w:hAnsi="仿宋_GB2312" w:cs="仿宋_GB2312"/>
          <w:color w:val="auto"/>
          <w:sz w:val="32"/>
          <w:szCs w:val="32"/>
          <w:highlight w:val="none"/>
          <w:lang w:val="en-US" w:eastAsia="zh-CN"/>
        </w:rPr>
        <w:t>通过开展打击“黑广播”“伪基站”等工作，</w:t>
      </w:r>
      <w:r>
        <w:rPr>
          <w:rFonts w:hint="eastAsia" w:ascii="仿宋_GB2312" w:hAnsi="Microsoft YaHei UI" w:eastAsia="仿宋_GB2312" w:cs="宋体"/>
          <w:color w:val="auto"/>
          <w:spacing w:val="8"/>
          <w:kern w:val="0"/>
          <w:sz w:val="32"/>
          <w:szCs w:val="32"/>
          <w:highlight w:val="none"/>
        </w:rPr>
        <w:t>有效维护了空中电波秩序和人民群众生命财产安全</w:t>
      </w:r>
      <w:r>
        <w:rPr>
          <w:rFonts w:hint="eastAsia"/>
          <w:color w:val="auto"/>
          <w:highlight w:val="none"/>
          <w:lang w:eastAsia="zh-CN"/>
        </w:rPr>
        <w:t>，</w:t>
      </w:r>
      <w:r>
        <w:rPr>
          <w:rFonts w:hint="eastAsia" w:ascii="仿宋_GB2312" w:hAnsi="仿宋_GB2312" w:cs="仿宋_GB2312"/>
          <w:color w:val="auto"/>
          <w:sz w:val="32"/>
          <w:szCs w:val="32"/>
          <w:highlight w:val="none"/>
        </w:rPr>
        <w:t>完成了无线电发射设备销售市场检查工作，依法查处未经批准使用无线电频率和擅自设置无线电台站行为，</w:t>
      </w:r>
      <w:r>
        <w:rPr>
          <w:rFonts w:hint="eastAsia" w:ascii="仿宋_GB2312" w:hAnsi="仿宋_GB2312" w:cs="仿宋_GB2312"/>
          <w:color w:val="auto"/>
          <w:sz w:val="32"/>
          <w:szCs w:val="32"/>
          <w:highlight w:val="none"/>
          <w:lang w:val="en-US" w:eastAsia="zh-CN"/>
        </w:rPr>
        <w:t>进一步</w:t>
      </w:r>
      <w:r>
        <w:rPr>
          <w:rFonts w:hint="eastAsia" w:ascii="宋体" w:hAnsi="宋体" w:cs="仿宋_GB2312"/>
          <w:color w:val="auto"/>
          <w:kern w:val="0"/>
          <w:sz w:val="32"/>
          <w:szCs w:val="32"/>
          <w:highlight w:val="none"/>
          <w:lang w:bidi="ar"/>
        </w:rPr>
        <w:t>净化</w:t>
      </w:r>
      <w:r>
        <w:rPr>
          <w:rFonts w:hint="eastAsia" w:ascii="宋体" w:hAnsi="宋体" w:cs="仿宋_GB2312"/>
          <w:color w:val="auto"/>
          <w:kern w:val="0"/>
          <w:sz w:val="32"/>
          <w:szCs w:val="32"/>
          <w:highlight w:val="none"/>
          <w:lang w:val="en-US" w:eastAsia="zh-CN" w:bidi="ar"/>
        </w:rPr>
        <w:t>了首都</w:t>
      </w:r>
      <w:r>
        <w:rPr>
          <w:rFonts w:hint="eastAsia" w:ascii="宋体" w:hAnsi="宋体" w:cs="仿宋_GB2312"/>
          <w:color w:val="auto"/>
          <w:kern w:val="0"/>
          <w:sz w:val="32"/>
          <w:szCs w:val="32"/>
          <w:highlight w:val="none"/>
          <w:lang w:bidi="ar"/>
        </w:rPr>
        <w:t>电磁环境</w:t>
      </w:r>
      <w:r>
        <w:rPr>
          <w:rFonts w:ascii="仿宋_GB2312"/>
          <w:color w:val="auto"/>
          <w:sz w:val="32"/>
          <w:szCs w:val="32"/>
          <w:highlight w:val="none"/>
        </w:rPr>
        <w:t>。</w:t>
      </w:r>
      <w:r>
        <w:rPr>
          <w:rFonts w:hint="eastAsia" w:ascii="宋体" w:hAnsi="宋体" w:cs="仿宋_GB2312"/>
          <w:b/>
          <w:color w:val="auto"/>
          <w:kern w:val="0"/>
          <w:sz w:val="32"/>
          <w:szCs w:val="32"/>
          <w:highlight w:val="none"/>
          <w:lang w:bidi="ar"/>
        </w:rPr>
        <w:t>二是经济效益方面，</w:t>
      </w:r>
      <w:r>
        <w:rPr>
          <w:rFonts w:hint="eastAsia" w:ascii="宋体" w:hAnsi="宋体" w:cs="仿宋_GB2312"/>
          <w:color w:val="auto"/>
          <w:kern w:val="0"/>
          <w:sz w:val="32"/>
          <w:szCs w:val="32"/>
          <w:highlight w:val="none"/>
          <w:lang w:bidi="ar"/>
        </w:rPr>
        <w:t>定期维护数据库，</w:t>
      </w:r>
      <w:r>
        <w:rPr>
          <w:rFonts w:hint="eastAsia" w:ascii="宋体" w:hAnsi="宋体"/>
          <w:color w:val="auto"/>
          <w:sz w:val="32"/>
          <w:highlight w:val="none"/>
        </w:rPr>
        <w:t>规范行政许可和执法行为，按季度及时公开检查结果，为北京地区经济发展创建良好的环境，收缴频占费</w:t>
      </w:r>
      <w:r>
        <w:rPr>
          <w:rFonts w:hint="eastAsia" w:ascii="宋体" w:hAnsi="宋体"/>
          <w:color w:val="auto"/>
          <w:sz w:val="32"/>
          <w:highlight w:val="none"/>
          <w:lang w:eastAsia="zh-CN"/>
        </w:rPr>
        <w:t>1</w:t>
      </w:r>
      <w:r>
        <w:rPr>
          <w:rFonts w:hint="eastAsia" w:ascii="宋体" w:hAnsi="宋体"/>
          <w:color w:val="auto"/>
          <w:sz w:val="32"/>
          <w:highlight w:val="none"/>
          <w:lang w:val="en-US" w:eastAsia="zh-CN"/>
        </w:rPr>
        <w:t>191.09</w:t>
      </w:r>
      <w:r>
        <w:rPr>
          <w:rFonts w:hint="eastAsia" w:ascii="宋体" w:hAnsi="宋体"/>
          <w:color w:val="auto"/>
          <w:sz w:val="32"/>
          <w:highlight w:val="none"/>
        </w:rPr>
        <w:t>万元。</w:t>
      </w:r>
      <w:r>
        <w:rPr>
          <w:rFonts w:hint="eastAsia" w:ascii="宋体" w:hAnsi="宋体"/>
          <w:b/>
          <w:color w:val="auto"/>
          <w:sz w:val="32"/>
          <w:highlight w:val="none"/>
        </w:rPr>
        <w:t>三是可持续影响方面，</w:t>
      </w:r>
      <w:r>
        <w:rPr>
          <w:rFonts w:hint="eastAsia" w:ascii="宋体" w:hAnsi="宋体"/>
          <w:color w:val="auto"/>
          <w:sz w:val="32"/>
          <w:highlight w:val="none"/>
        </w:rPr>
        <w:t>及时履行设备报废程序</w:t>
      </w:r>
      <w:r>
        <w:rPr>
          <w:rFonts w:hint="eastAsia" w:ascii="宋体" w:hAnsi="宋体"/>
          <w:color w:val="auto"/>
          <w:sz w:val="32"/>
          <w:highlight w:val="none"/>
          <w:lang w:eastAsia="zh-CN"/>
        </w:rPr>
        <w:t>，</w:t>
      </w:r>
      <w:r>
        <w:rPr>
          <w:rFonts w:hint="eastAsia" w:ascii="宋体" w:hAnsi="宋体"/>
          <w:color w:val="auto"/>
          <w:sz w:val="32"/>
          <w:highlight w:val="none"/>
          <w:lang w:val="en-US" w:eastAsia="zh-CN"/>
        </w:rPr>
        <w:t>现场核查的在用无线电设施设备均正常使用</w:t>
      </w:r>
      <w:r>
        <w:rPr>
          <w:rFonts w:hint="eastAsia" w:ascii="宋体" w:hAnsi="宋体"/>
          <w:color w:val="auto"/>
          <w:sz w:val="32"/>
          <w:highlight w:val="none"/>
          <w:lang w:eastAsia="zh-CN"/>
        </w:rPr>
        <w:t>；</w:t>
      </w:r>
      <w:r>
        <w:rPr>
          <w:rFonts w:hint="eastAsia" w:ascii="宋体" w:hAnsi="宋体"/>
          <w:color w:val="auto"/>
          <w:sz w:val="32"/>
          <w:highlight w:val="none"/>
          <w:lang w:val="en-US" w:eastAsia="zh-CN"/>
        </w:rPr>
        <w:t>通过</w:t>
      </w:r>
      <w:r>
        <w:rPr>
          <w:rFonts w:hint="eastAsia" w:ascii="宋体" w:hAnsi="宋体"/>
          <w:color w:val="auto"/>
          <w:sz w:val="32"/>
          <w:highlight w:val="none"/>
        </w:rPr>
        <w:t>开展培训和演练，有效提升了技术</w:t>
      </w:r>
      <w:r>
        <w:rPr>
          <w:rFonts w:hint="eastAsia" w:ascii="宋体" w:hAnsi="宋体" w:cs="仿宋_GB2312"/>
          <w:color w:val="auto"/>
          <w:kern w:val="0"/>
          <w:sz w:val="32"/>
          <w:szCs w:val="32"/>
          <w:highlight w:val="none"/>
          <w:lang w:bidi="ar"/>
        </w:rPr>
        <w:t>人员业务水平；通过中央和地方权威媒体开展无线电管理普法宣传，取得较好的普法宣传效果，按要求完成了整改。</w:t>
      </w:r>
      <w:r>
        <w:rPr>
          <w:rFonts w:hint="eastAsia" w:ascii="宋体" w:hAnsi="宋体" w:cs="仿宋_GB2312"/>
          <w:b/>
          <w:color w:val="auto"/>
          <w:kern w:val="0"/>
          <w:sz w:val="32"/>
          <w:szCs w:val="32"/>
          <w:highlight w:val="none"/>
          <w:lang w:bidi="ar"/>
        </w:rPr>
        <w:t>四是满意度方面，</w:t>
      </w:r>
      <w:r>
        <w:rPr>
          <w:rFonts w:hint="eastAsia" w:ascii="宋体" w:hAnsi="宋体" w:cs="仿宋_GB2312"/>
          <w:color w:val="auto"/>
          <w:kern w:val="0"/>
          <w:sz w:val="32"/>
          <w:szCs w:val="32"/>
          <w:highlight w:val="none"/>
          <w:lang w:bidi="ar"/>
        </w:rPr>
        <w:t>获得了</w:t>
      </w:r>
      <w:r>
        <w:rPr>
          <w:rFonts w:hint="eastAsia" w:ascii="仿宋_GB2312" w:hAnsi="仿宋_GB2312" w:cs="仿宋_GB2312"/>
          <w:b w:val="0"/>
          <w:bCs/>
          <w:color w:val="auto"/>
          <w:sz w:val="32"/>
          <w:szCs w:val="32"/>
          <w:highlight w:val="none"/>
          <w:lang w:val="en-US" w:eastAsia="zh-CN"/>
        </w:rPr>
        <w:t>市委市政府</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北京市突发事件应急委员会办公室等多家单位的表扬和表彰。</w:t>
      </w:r>
      <w:r>
        <w:rPr>
          <w:rFonts w:hint="eastAsia" w:ascii="仿宋_GB2312" w:hAnsi="仿宋_GB2312" w:cs="仿宋_GB2312"/>
          <w:color w:val="auto"/>
          <w:sz w:val="32"/>
          <w:szCs w:val="32"/>
          <w:highlight w:val="none"/>
          <w:lang w:val="en-US" w:eastAsia="zh-CN"/>
        </w:rPr>
        <w:t>但</w:t>
      </w:r>
      <w:r>
        <w:rPr>
          <w:rFonts w:hint="eastAsia" w:ascii="仿宋_GB2312" w:hAnsi="仿宋_GB2312" w:cs="仿宋_GB2312"/>
          <w:b w:val="0"/>
          <w:bCs/>
          <w:color w:val="auto"/>
          <w:sz w:val="32"/>
          <w:szCs w:val="32"/>
          <w:highlight w:val="none"/>
          <w:lang w:val="en-US" w:eastAsia="zh-CN"/>
        </w:rPr>
        <w:t>2023年度4个建设项目尚未完成，无线电管理技术设施能力提升待完成后实现</w:t>
      </w:r>
      <w:r>
        <w:rPr>
          <w:rFonts w:hint="eastAsia" w:ascii="仿宋_GB2312" w:hAnsi="仿宋_GB2312" w:cs="仿宋_GB2312"/>
          <w:color w:val="auto"/>
          <w:sz w:val="32"/>
          <w:szCs w:val="32"/>
          <w:highlight w:val="none"/>
          <w:lang w:val="en-US" w:eastAsia="zh-CN"/>
        </w:rPr>
        <w:t>。</w:t>
      </w:r>
      <w:r>
        <w:rPr>
          <w:rFonts w:hint="eastAsia" w:ascii="仿宋_GB2312" w:hAnsi="仿宋"/>
          <w:color w:val="auto"/>
          <w:sz w:val="32"/>
          <w:szCs w:val="32"/>
          <w:highlight w:val="none"/>
        </w:rPr>
        <w:t>该指标分值30分，得分</w:t>
      </w:r>
      <w:r>
        <w:rPr>
          <w:rFonts w:hint="eastAsia" w:ascii="仿宋_GB2312" w:hAnsi="仿宋"/>
          <w:color w:val="auto"/>
          <w:sz w:val="32"/>
          <w:szCs w:val="32"/>
          <w:highlight w:val="none"/>
          <w:lang w:val="en-US" w:eastAsia="zh-CN"/>
        </w:rPr>
        <w:t>29.58</w:t>
      </w:r>
      <w:r>
        <w:rPr>
          <w:rFonts w:hint="eastAsia" w:ascii="仿宋_GB2312" w:hAnsi="仿宋"/>
          <w:color w:val="auto"/>
          <w:sz w:val="32"/>
          <w:szCs w:val="32"/>
          <w:highlight w:val="none"/>
        </w:rPr>
        <w:t>分，得分率</w:t>
      </w:r>
      <w:r>
        <w:rPr>
          <w:rFonts w:hint="eastAsia" w:ascii="仿宋_GB2312" w:hAnsi="仿宋"/>
          <w:color w:val="auto"/>
          <w:sz w:val="32"/>
          <w:szCs w:val="32"/>
          <w:highlight w:val="none"/>
          <w:lang w:val="en-US" w:eastAsia="zh-CN"/>
        </w:rPr>
        <w:t>98.60</w:t>
      </w:r>
      <w:r>
        <w:rPr>
          <w:rFonts w:hint="eastAsia" w:ascii="仿宋_GB2312" w:hAnsi="仿宋"/>
          <w:color w:val="auto"/>
          <w:sz w:val="32"/>
          <w:szCs w:val="32"/>
          <w:highlight w:val="none"/>
        </w:rPr>
        <w:t>%。评分见表</w:t>
      </w:r>
      <w:r>
        <w:rPr>
          <w:rFonts w:hint="eastAsia" w:ascii="仿宋_GB2312" w:hAnsi="仿宋"/>
          <w:color w:val="auto"/>
          <w:sz w:val="32"/>
          <w:szCs w:val="32"/>
          <w:highlight w:val="none"/>
          <w:lang w:val="en-US" w:eastAsia="zh-CN"/>
        </w:rPr>
        <w:t>10</w:t>
      </w:r>
      <w:r>
        <w:rPr>
          <w:rFonts w:hint="eastAsia" w:ascii="仿宋_GB2312" w:hAnsi="仿宋"/>
          <w:color w:val="auto"/>
          <w:sz w:val="32"/>
          <w:szCs w:val="32"/>
          <w:highlight w:val="none"/>
        </w:rPr>
        <w:t>。</w:t>
      </w:r>
    </w:p>
    <w:p>
      <w:pPr>
        <w:adjustRightInd w:val="0"/>
        <w:snapToGrid w:val="0"/>
        <w:spacing w:line="360" w:lineRule="auto"/>
        <w:jc w:val="center"/>
        <w:rPr>
          <w:rFonts w:ascii="黑体" w:hAnsi="黑体" w:eastAsia="黑体"/>
          <w:color w:val="auto"/>
          <w:sz w:val="28"/>
          <w:szCs w:val="28"/>
          <w:highlight w:val="none"/>
        </w:rPr>
      </w:pPr>
      <w:r>
        <w:rPr>
          <w:rFonts w:hint="eastAsia" w:ascii="黑体" w:hAnsi="黑体" w:eastAsia="黑体"/>
          <w:color w:val="auto"/>
          <w:sz w:val="28"/>
          <w:szCs w:val="28"/>
          <w:highlight w:val="none"/>
        </w:rPr>
        <w:t>表</w:t>
      </w:r>
      <w:r>
        <w:rPr>
          <w:rFonts w:hint="eastAsia" w:ascii="黑体" w:hAnsi="黑体" w:eastAsia="黑体"/>
          <w:color w:val="auto"/>
          <w:sz w:val="28"/>
          <w:szCs w:val="28"/>
          <w:highlight w:val="none"/>
          <w:lang w:val="en-US" w:eastAsia="zh-CN"/>
        </w:rPr>
        <w:t>10</w:t>
      </w:r>
      <w:r>
        <w:rPr>
          <w:rFonts w:hint="eastAsia" w:ascii="黑体" w:hAnsi="黑体" w:eastAsia="黑体"/>
          <w:color w:val="auto"/>
          <w:sz w:val="28"/>
          <w:szCs w:val="28"/>
          <w:highlight w:val="none"/>
        </w:rPr>
        <w:t>：效益指标设定及评分情况表</w:t>
      </w:r>
    </w:p>
    <w:tbl>
      <w:tblPr>
        <w:tblStyle w:val="16"/>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7"/>
        <w:gridCol w:w="1749"/>
        <w:gridCol w:w="3263"/>
        <w:gridCol w:w="1187"/>
        <w:gridCol w:w="12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86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一级指标</w:t>
            </w:r>
          </w:p>
        </w:tc>
        <w:tc>
          <w:tcPr>
            <w:tcW w:w="965"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二级指标</w:t>
            </w: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三级指标</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分值</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s="Arial"/>
                <w:b/>
                <w:bCs/>
                <w:color w:val="auto"/>
                <w:kern w:val="0"/>
                <w:sz w:val="20"/>
                <w:szCs w:val="20"/>
                <w:highlight w:val="none"/>
              </w:rPr>
            </w:pPr>
            <w:r>
              <w:rPr>
                <w:rFonts w:hint="eastAsia" w:ascii="宋体" w:hAnsi="宋体" w:eastAsia="宋体" w:cs="Arial"/>
                <w:b/>
                <w:bCs/>
                <w:color w:val="auto"/>
                <w:kern w:val="0"/>
                <w:sz w:val="20"/>
                <w:szCs w:val="20"/>
                <w:highlight w:val="none"/>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restart"/>
            <w:tcBorders>
              <w:top w:val="nil"/>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效益</w:t>
            </w:r>
          </w:p>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olor w:val="auto"/>
                <w:kern w:val="0"/>
                <w:sz w:val="20"/>
                <w:szCs w:val="20"/>
                <w:highlight w:val="none"/>
              </w:rPr>
            </w:pPr>
            <w:r>
              <w:rPr>
                <w:rFonts w:hint="eastAsia" w:ascii="宋体" w:hAnsi="宋体" w:eastAsia="宋体"/>
                <w:color w:val="auto"/>
                <w:kern w:val="0"/>
                <w:sz w:val="20"/>
                <w:szCs w:val="20"/>
                <w:highlight w:val="none"/>
              </w:rPr>
              <w:t>（30分）</w:t>
            </w:r>
          </w:p>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65" w:type="pct"/>
            <w:vMerge w:val="restart"/>
            <w:tcBorders>
              <w:top w:val="nil"/>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社会效益</w:t>
            </w: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技术能力提升</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default" w:ascii="宋体" w:hAnsi="宋体" w:eastAsia="宋体"/>
                <w:color w:val="auto"/>
                <w:kern w:val="0"/>
                <w:sz w:val="20"/>
                <w:szCs w:val="20"/>
                <w:highlight w:val="none"/>
                <w:lang w:val="en-US" w:eastAsia="zh-CN"/>
              </w:rPr>
            </w:pPr>
            <w:r>
              <w:rPr>
                <w:rFonts w:hint="eastAsia" w:ascii="宋体" w:hAnsi="宋体" w:eastAsia="宋体" w:cs="宋体"/>
                <w:color w:val="auto"/>
                <w:kern w:val="0"/>
                <w:sz w:val="20"/>
                <w:szCs w:val="20"/>
                <w:highlight w:val="none"/>
                <w:lang w:val="en-US" w:eastAsia="zh-CN" w:bidi="ar"/>
              </w:rPr>
              <w:t>1.58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65"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无线电安全保障</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65" w:type="pct"/>
            <w:vMerge w:val="continue"/>
            <w:tcBorders>
              <w:left w:val="nil"/>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电磁环境效益</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8</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65" w:type="pct"/>
            <w:tcBorders>
              <w:left w:val="nil"/>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经济效益</w:t>
            </w: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促进当地经济发展</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4</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65" w:type="pct"/>
            <w:vMerge w:val="restart"/>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可持续影响</w:t>
            </w: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设备使用情况</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65" w:type="pct"/>
            <w:vMerge w:val="continue"/>
            <w:tcBorders>
              <w:left w:val="nil"/>
              <w:right w:val="single" w:color="auto" w:sz="4" w:space="0"/>
            </w:tcBorders>
            <w:vAlign w:val="center"/>
          </w:tcPr>
          <w:p>
            <w:pPr>
              <w:keepNext w:val="0"/>
              <w:keepLines w:val="0"/>
              <w:pageBreakBefore w:val="0"/>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人才队伍建设情况</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65"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普法宣传情况</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965"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资金使用整改情况</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965" w:type="pct"/>
            <w:vMerge w:val="restart"/>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r>
              <w:rPr>
                <w:rFonts w:hint="eastAsia" w:ascii="宋体" w:hAnsi="宋体" w:eastAsia="宋体"/>
                <w:color w:val="auto"/>
                <w:kern w:val="0"/>
                <w:sz w:val="20"/>
                <w:szCs w:val="20"/>
                <w:highlight w:val="none"/>
              </w:rPr>
              <w:t>满意度</w:t>
            </w: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服务对象满意度</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965" w:type="pct"/>
            <w:vMerge w:val="continue"/>
            <w:tcBorders>
              <w:left w:val="nil"/>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表扬表彰等情况</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1</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5" w:type="pct"/>
            <w:vMerge w:val="continue"/>
            <w:tcBorders>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left"/>
              <w:rPr>
                <w:rFonts w:ascii="宋体" w:hAnsi="宋体" w:eastAsia="宋体"/>
                <w:color w:val="auto"/>
                <w:kern w:val="0"/>
                <w:sz w:val="20"/>
                <w:szCs w:val="20"/>
                <w:highlight w:val="none"/>
              </w:rPr>
            </w:pPr>
          </w:p>
        </w:tc>
        <w:tc>
          <w:tcPr>
            <w:tcW w:w="965" w:type="pct"/>
            <w:vMerge w:val="continue"/>
            <w:tcBorders>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rPr>
                <w:rFonts w:ascii="宋体" w:hAnsi="宋体" w:eastAsia="宋体"/>
                <w:color w:val="auto"/>
                <w:kern w:val="0"/>
                <w:sz w:val="20"/>
                <w:szCs w:val="20"/>
                <w:highlight w:val="none"/>
              </w:rPr>
            </w:pPr>
          </w:p>
        </w:tc>
        <w:tc>
          <w:tcPr>
            <w:tcW w:w="180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年度工作全国通报情况</w:t>
            </w:r>
          </w:p>
        </w:tc>
        <w:tc>
          <w:tcPr>
            <w:tcW w:w="655"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w:t>
            </w:r>
          </w:p>
        </w:tc>
        <w:tc>
          <w:tcPr>
            <w:tcW w:w="711" w:type="pct"/>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ascii="宋体" w:hAnsi="宋体" w:eastAsia="宋体"/>
                <w:color w:val="auto"/>
                <w:kern w:val="0"/>
                <w:sz w:val="20"/>
                <w:szCs w:val="20"/>
                <w:highlight w:val="none"/>
              </w:rPr>
            </w:pPr>
            <w:r>
              <w:rPr>
                <w:rFonts w:hint="eastAsia" w:ascii="宋体" w:hAnsi="宋体" w:eastAsia="宋体" w:cs="宋体"/>
                <w:color w:val="auto"/>
                <w:kern w:val="0"/>
                <w:sz w:val="20"/>
                <w:szCs w:val="20"/>
                <w:highlight w:val="none"/>
                <w:lang w:bidi="ar"/>
              </w:rPr>
              <w:t>2.00</w:t>
            </w:r>
          </w:p>
        </w:tc>
      </w:tr>
    </w:tbl>
    <w:p>
      <w:pPr>
        <w:keepNext w:val="0"/>
        <w:keepLines w:val="0"/>
        <w:pageBreakBefore w:val="0"/>
        <w:widowControl w:val="0"/>
        <w:kinsoku/>
        <w:wordWrap/>
        <w:overflowPunct/>
        <w:topLinePunct w:val="0"/>
        <w:autoSpaceDE/>
        <w:autoSpaceDN/>
        <w:bidi w:val="0"/>
        <w:adjustRightInd w:val="0"/>
        <w:snapToGrid w:val="0"/>
        <w:spacing w:before="313" w:beforeLines="100" w:line="360" w:lineRule="auto"/>
        <w:ind w:firstLine="640" w:firstLineChars="200"/>
        <w:textAlignment w:val="auto"/>
        <w:outlineLvl w:val="2"/>
        <w:rPr>
          <w:rFonts w:ascii="仿宋_GB2312" w:hAnsi="仿宋_GB2312" w:cs="仿宋_GB2312"/>
          <w:iCs/>
          <w:color w:val="auto"/>
          <w:sz w:val="32"/>
          <w:szCs w:val="32"/>
          <w:highlight w:val="none"/>
        </w:rPr>
      </w:pPr>
      <w:bookmarkStart w:id="141" w:name="_Toc5333"/>
      <w:bookmarkStart w:id="142" w:name="_Toc7375"/>
      <w:bookmarkStart w:id="143" w:name="_Toc793"/>
      <w:r>
        <w:rPr>
          <w:rFonts w:hint="eastAsia" w:ascii="仿宋_GB2312" w:hAnsi="仿宋_GB2312" w:cs="仿宋_GB2312"/>
          <w:iCs/>
          <w:color w:val="auto"/>
          <w:sz w:val="32"/>
          <w:szCs w:val="32"/>
          <w:highlight w:val="none"/>
        </w:rPr>
        <w:t>1.社会效益</w:t>
      </w:r>
      <w:bookmarkEnd w:id="141"/>
      <w:bookmarkEnd w:id="142"/>
      <w:bookmarkEnd w:id="143"/>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bCs/>
          <w:color w:val="auto"/>
          <w:sz w:val="32"/>
          <w:szCs w:val="32"/>
          <w:highlight w:val="none"/>
        </w:rPr>
        <w:t>技术能力提升方面。</w:t>
      </w:r>
      <w:r>
        <w:rPr>
          <w:rFonts w:hint="eastAsia" w:ascii="仿宋_GB2312" w:hAnsi="仿宋_GB2312" w:cs="仿宋_GB2312"/>
          <w:b w:val="0"/>
          <w:bCs w:val="0"/>
          <w:color w:val="auto"/>
          <w:sz w:val="32"/>
          <w:szCs w:val="32"/>
          <w:highlight w:val="none"/>
          <w:lang w:val="en-US" w:eastAsia="zh-CN"/>
        </w:rPr>
        <w:t>2022年度6个建设项目于2023年完成验收，</w:t>
      </w:r>
      <w:r>
        <w:rPr>
          <w:rFonts w:hint="eastAsia" w:ascii="仿宋_GB2312" w:hAnsi="仿宋_GB2312" w:cs="仿宋_GB2312"/>
          <w:color w:val="auto"/>
          <w:sz w:val="32"/>
          <w:szCs w:val="32"/>
          <w:highlight w:val="none"/>
        </w:rPr>
        <w:t>通过技术演练、业务培训、设备购置、技术设施建设等活动，监测能力、机动能力、管制能力、检测能力、信息化水平等无线电管理技术设施能力</w:t>
      </w:r>
      <w:r>
        <w:rPr>
          <w:rFonts w:hint="eastAsia" w:ascii="仿宋_GB2312" w:hAnsi="仿宋_GB2312" w:cs="仿宋_GB2312"/>
          <w:color w:val="auto"/>
          <w:sz w:val="32"/>
          <w:szCs w:val="32"/>
          <w:highlight w:val="none"/>
          <w:lang w:val="en-US" w:eastAsia="zh-CN"/>
        </w:rPr>
        <w:t>得到明显提升。但2023年4个建设项目尚未完成验收，相关技术设施能力待项目完成后发挥</w:t>
      </w:r>
      <w:r>
        <w:rPr>
          <w:rFonts w:hint="eastAsia" w:ascii="仿宋_GB2312" w:hAnsi="仿宋_GB2312" w:cs="仿宋_GB2312"/>
          <w:color w:val="auto"/>
          <w:sz w:val="32"/>
          <w:szCs w:val="32"/>
          <w:highlight w:val="none"/>
        </w:rPr>
        <w:t>。</w:t>
      </w:r>
    </w:p>
    <w:p>
      <w:pPr>
        <w:adjustRightInd w:val="0"/>
        <w:snapToGrid w:val="0"/>
        <w:spacing w:line="360" w:lineRule="auto"/>
        <w:ind w:firstLine="643" w:firstLineChars="200"/>
        <w:rPr>
          <w:rFonts w:hint="default" w:ascii="仿宋_GB2312" w:hAnsi="仿宋_GB2312" w:cs="仿宋_GB2312"/>
          <w:b w:val="0"/>
          <w:bCs w:val="0"/>
          <w:color w:val="auto"/>
          <w:sz w:val="32"/>
          <w:szCs w:val="32"/>
          <w:highlight w:val="none"/>
          <w:lang w:val="en-US" w:eastAsia="zh-CN"/>
        </w:rPr>
      </w:pPr>
      <w:r>
        <w:rPr>
          <w:rFonts w:hint="eastAsia" w:ascii="仿宋_GB2312" w:hAnsi="仿宋_GB2312" w:cs="仿宋_GB2312"/>
          <w:b/>
          <w:bCs/>
          <w:color w:val="auto"/>
          <w:sz w:val="32"/>
          <w:szCs w:val="32"/>
          <w:highlight w:val="none"/>
        </w:rPr>
        <w:t>无线电安全保障方面。</w:t>
      </w:r>
      <w:r>
        <w:rPr>
          <w:rFonts w:hint="eastAsia" w:ascii="仿宋_GB2312" w:hAnsi="仿宋_GB2312" w:cs="仿宋_GB2312"/>
          <w:b w:val="0"/>
          <w:bCs w:val="0"/>
          <w:color w:val="auto"/>
          <w:sz w:val="32"/>
          <w:szCs w:val="32"/>
          <w:highlight w:val="none"/>
          <w:lang w:val="en-US" w:eastAsia="zh-CN"/>
        </w:rPr>
        <w:t>市经信局修订了</w:t>
      </w:r>
      <w:r>
        <w:rPr>
          <w:rFonts w:hint="eastAsia" w:ascii="仿宋_GB2312" w:hAnsi="仿宋_GB2312" w:cs="仿宋_GB2312"/>
          <w:color w:val="auto"/>
          <w:sz w:val="32"/>
          <w:szCs w:val="32"/>
          <w:highlight w:val="none"/>
        </w:rPr>
        <w:t>北京市无线电管理</w:t>
      </w:r>
      <w:r>
        <w:rPr>
          <w:rFonts w:hint="eastAsia" w:ascii="仿宋_GB2312" w:hAnsi="仿宋_GB2312" w:cs="仿宋_GB2312"/>
          <w:b w:val="0"/>
          <w:bCs w:val="0"/>
          <w:color w:val="auto"/>
          <w:sz w:val="32"/>
          <w:szCs w:val="32"/>
          <w:highlight w:val="none"/>
          <w:lang w:val="en-US" w:eastAsia="zh-CN"/>
        </w:rPr>
        <w:t>应急预案和风险管控措施，完成了</w:t>
      </w:r>
      <w:r>
        <w:rPr>
          <w:rFonts w:hint="eastAsia" w:ascii="仿宋_GB2312" w:hAnsi="仿宋_GB2312" w:cs="仿宋_GB2312"/>
          <w:b w:val="0"/>
          <w:bCs w:val="0"/>
          <w:color w:val="auto"/>
          <w:sz w:val="32"/>
          <w:szCs w:val="32"/>
          <w:highlight w:val="none"/>
        </w:rPr>
        <w:t>全国“两会”、防空警报试鸣、930献花活动、抗战纪念活动、机器人大会、全球可持续交通高峰论坛、成都大运会火炬传递仪式暨首站传递活动、服贸会、第十三届大学生创业计划竞赛全国决赛等重大活动保障</w:t>
      </w:r>
      <w:r>
        <w:rPr>
          <w:rFonts w:hint="eastAsia" w:ascii="仿宋_GB2312" w:hAnsi="仿宋_GB2312" w:cs="仿宋_GB2312"/>
          <w:b w:val="0"/>
          <w:bCs w:val="0"/>
          <w:color w:val="auto"/>
          <w:sz w:val="32"/>
          <w:szCs w:val="32"/>
          <w:highlight w:val="none"/>
          <w:lang w:val="en-US" w:eastAsia="zh-CN"/>
        </w:rPr>
        <w:t>工作。截至2023年12月，完成了司法考试、注册会计师考试、军转干部考试、中央和北京公务员考试等重要考试保障工作，并形成了相关工作记录。市经信局无线电安全保障工作获得北京市委市政府、北京市突发事件应急委员会办公室、北京市森林防灭火部门等部门的表彰或表扬，收到北京市司法局、中央广播电视总台技术局、中部战区联合参谋部信息保障局等用频单位的感谢信，市经信局无线电安全保障工作获得相关部门高度认可。</w:t>
      </w:r>
    </w:p>
    <w:p>
      <w:pPr>
        <w:adjustRightInd w:val="0"/>
        <w:snapToGrid w:val="0"/>
        <w:spacing w:line="360" w:lineRule="auto"/>
        <w:ind w:firstLine="643" w:firstLineChars="200"/>
        <w:rPr>
          <w:rFonts w:hint="default" w:ascii="仿宋_GB2312" w:hAnsi="仿宋_GB2312" w:eastAsia="仿宋_GB2312" w:cs="仿宋_GB2312"/>
          <w:color w:val="auto"/>
          <w:sz w:val="32"/>
          <w:szCs w:val="32"/>
          <w:highlight w:val="none"/>
          <w:lang w:val="en-US" w:eastAsia="zh-CN"/>
        </w:rPr>
      </w:pPr>
      <w:r>
        <w:rPr>
          <w:rFonts w:hint="eastAsia" w:ascii="仿宋_GB2312" w:hAnsi="仿宋_GB2312" w:cs="仿宋_GB2312"/>
          <w:b/>
          <w:bCs/>
          <w:color w:val="auto"/>
          <w:sz w:val="32"/>
          <w:szCs w:val="32"/>
          <w:highlight w:val="none"/>
        </w:rPr>
        <w:t>电磁环境效益方面。</w:t>
      </w:r>
      <w:r>
        <w:rPr>
          <w:rFonts w:hint="eastAsia" w:ascii="仿宋_GB2312" w:hAnsi="仿宋_GB2312" w:cs="仿宋_GB2312"/>
          <w:color w:val="auto"/>
          <w:sz w:val="32"/>
          <w:szCs w:val="32"/>
          <w:highlight w:val="none"/>
        </w:rPr>
        <w:t>监测站每月开展重要业务和重点频段的日常保护性监测，及时发现并排除干扰隐患，相关数据记录完整；</w:t>
      </w:r>
      <w:r>
        <w:rPr>
          <w:rFonts w:hint="eastAsia" w:ascii="仿宋_GB2312" w:hAnsi="仿宋_GB2312" w:cs="仿宋_GB2312"/>
          <w:color w:val="auto"/>
          <w:sz w:val="32"/>
          <w:szCs w:val="32"/>
          <w:highlight w:val="none"/>
          <w:lang w:val="en-US" w:eastAsia="zh-CN"/>
        </w:rPr>
        <w:t>2023年开展打击“黑广播”“伪基站”活动全年累计出动人员70余人次，动用监测设备70台套，累计监测时长5000余小时，监测疑似“黑广播”信号23个</w:t>
      </w:r>
      <w:r>
        <w:rPr>
          <w:rFonts w:ascii="仿宋_GB2312" w:cs="仿宋_GB2312"/>
          <w:color w:val="auto"/>
          <w:sz w:val="32"/>
          <w:szCs w:val="32"/>
          <w:highlight w:val="none"/>
        </w:rPr>
        <w:t>，</w:t>
      </w:r>
      <w:r>
        <w:rPr>
          <w:rFonts w:hint="eastAsia" w:ascii="仿宋_GB2312" w:hAnsi="Microsoft YaHei UI" w:eastAsia="仿宋_GB2312" w:cs="宋体"/>
          <w:color w:val="auto"/>
          <w:spacing w:val="8"/>
          <w:kern w:val="0"/>
          <w:sz w:val="32"/>
          <w:szCs w:val="32"/>
          <w:highlight w:val="none"/>
        </w:rPr>
        <w:t>有效维护了空中电波秩序和人民群众生命财产安全</w:t>
      </w:r>
      <w:r>
        <w:rPr>
          <w:rFonts w:hint="eastAsia" w:ascii="仿宋_GB2312" w:hAnsi="Microsoft YaHei UI" w:cs="宋体"/>
          <w:color w:val="auto"/>
          <w:spacing w:val="8"/>
          <w:kern w:val="0"/>
          <w:sz w:val="32"/>
          <w:szCs w:val="32"/>
          <w:highlight w:val="none"/>
          <w:lang w:eastAsia="zh-CN"/>
        </w:rPr>
        <w:t>；</w:t>
      </w:r>
      <w:r>
        <w:rPr>
          <w:rFonts w:hint="eastAsia" w:ascii="仿宋_GB2312" w:hAnsi="仿宋_GB2312" w:cs="仿宋_GB2312"/>
          <w:color w:val="auto"/>
          <w:sz w:val="32"/>
          <w:szCs w:val="32"/>
          <w:highlight w:val="none"/>
        </w:rPr>
        <w:t>完成了无线电发射设备</w:t>
      </w:r>
      <w:r>
        <w:rPr>
          <w:rFonts w:hint="eastAsia" w:ascii="仿宋_GB2312" w:hAnsi="仿宋_GB2312" w:cs="仿宋_GB2312"/>
          <w:color w:val="auto"/>
          <w:sz w:val="32"/>
          <w:szCs w:val="32"/>
          <w:highlight w:val="none"/>
          <w:lang w:val="en-US" w:eastAsia="zh-CN"/>
        </w:rPr>
        <w:t>型号核准测试项目和销售备案巡检等设备管理</w:t>
      </w:r>
      <w:r>
        <w:rPr>
          <w:rFonts w:hint="eastAsia" w:ascii="仿宋_GB2312" w:hAnsi="仿宋_GB2312" w:cs="仿宋_GB2312"/>
          <w:color w:val="auto"/>
          <w:sz w:val="32"/>
          <w:szCs w:val="32"/>
          <w:highlight w:val="none"/>
        </w:rPr>
        <w:t>工作，</w:t>
      </w:r>
      <w:r>
        <w:rPr>
          <w:rFonts w:hint="eastAsia" w:ascii="仿宋_GB2312" w:hAnsi="仿宋_GB2312" w:eastAsia="仿宋_GB2312" w:cs="仿宋_GB2312"/>
          <w:color w:val="auto"/>
          <w:kern w:val="0"/>
          <w:sz w:val="32"/>
          <w:szCs w:val="32"/>
          <w:highlight w:val="none"/>
          <w:lang w:val="en-US" w:eastAsia="zh-CN" w:bidi="ar"/>
        </w:rPr>
        <w:t>强化了生产厂家对于无线电发射设备型号核准的认识，</w:t>
      </w:r>
      <w:r>
        <w:rPr>
          <w:rFonts w:hint="eastAsia" w:ascii="仿宋_GB2312" w:hAnsi="仿宋_GB2312" w:cs="仿宋_GB2312"/>
          <w:color w:val="auto"/>
          <w:kern w:val="0"/>
          <w:sz w:val="32"/>
          <w:szCs w:val="32"/>
          <w:highlight w:val="none"/>
          <w:lang w:val="en-US" w:eastAsia="zh-CN" w:bidi="ar"/>
        </w:rPr>
        <w:t>保证了北京区域</w:t>
      </w:r>
      <w:r>
        <w:rPr>
          <w:rFonts w:hint="eastAsia" w:ascii="仿宋_GB2312" w:hAnsi="仿宋_GB2312" w:eastAsia="仿宋_GB2312" w:cs="仿宋_GB2312"/>
          <w:color w:val="auto"/>
          <w:kern w:val="0"/>
          <w:sz w:val="32"/>
          <w:szCs w:val="32"/>
          <w:highlight w:val="none"/>
          <w:lang w:val="en-US" w:eastAsia="zh-CN" w:bidi="ar"/>
        </w:rPr>
        <w:t>在售无线电发射设备的合法性</w:t>
      </w:r>
      <w:r>
        <w:rPr>
          <w:rFonts w:hint="eastAsia" w:ascii="仿宋_GB2312" w:hAnsi="仿宋_GB2312" w:cs="仿宋_GB2312"/>
          <w:color w:val="auto"/>
          <w:kern w:val="0"/>
          <w:sz w:val="32"/>
          <w:szCs w:val="32"/>
          <w:highlight w:val="none"/>
          <w:lang w:val="en-US" w:eastAsia="zh-CN" w:bidi="ar"/>
        </w:rPr>
        <w:t>和消费者</w:t>
      </w:r>
      <w:r>
        <w:rPr>
          <w:rFonts w:hint="eastAsia" w:ascii="仿宋_GB2312" w:hAnsi="仿宋_GB2312" w:eastAsia="仿宋_GB2312" w:cs="仿宋_GB2312"/>
          <w:color w:val="auto"/>
          <w:kern w:val="0"/>
          <w:sz w:val="32"/>
          <w:szCs w:val="32"/>
          <w:highlight w:val="none"/>
          <w:lang w:val="en-US" w:eastAsia="zh-CN" w:bidi="ar"/>
        </w:rPr>
        <w:t>合法权益</w:t>
      </w:r>
      <w:r>
        <w:rPr>
          <w:rFonts w:hint="eastAsia" w:ascii="仿宋_GB2312" w:hAnsi="仿宋_GB2312" w:cs="仿宋_GB2312"/>
          <w:color w:val="auto"/>
          <w:kern w:val="0"/>
          <w:sz w:val="32"/>
          <w:szCs w:val="32"/>
          <w:highlight w:val="none"/>
          <w:lang w:val="en-US" w:eastAsia="zh-CN" w:bidi="ar"/>
        </w:rPr>
        <w:t>，</w:t>
      </w:r>
      <w:r>
        <w:rPr>
          <w:rFonts w:hint="default" w:ascii="仿宋_GB2312" w:hAnsi="仿宋_GB2312" w:eastAsia="仿宋_GB2312" w:cs="仿宋_GB2312"/>
          <w:color w:val="auto"/>
          <w:kern w:val="0"/>
          <w:sz w:val="32"/>
          <w:szCs w:val="32"/>
          <w:highlight w:val="none"/>
          <w:lang w:val="en-US" w:eastAsia="zh-CN" w:bidi="ar"/>
        </w:rPr>
        <w:t>对加强无线电发射设备管理、建立完善日常监督检查制度、切实维护空中电波秩序起到了重要作用</w:t>
      </w:r>
      <w:r>
        <w:rPr>
          <w:rFonts w:hint="eastAsia" w:ascii="仿宋_GB2312" w:hAnsi="仿宋_GB2312" w:cs="仿宋_GB2312"/>
          <w:color w:val="auto"/>
          <w:kern w:val="0"/>
          <w:sz w:val="32"/>
          <w:szCs w:val="32"/>
          <w:highlight w:val="none"/>
          <w:lang w:val="en-US" w:eastAsia="zh-CN" w:bidi="ar"/>
        </w:rPr>
        <w:t>，使得</w:t>
      </w:r>
      <w:r>
        <w:rPr>
          <w:rFonts w:hint="eastAsia" w:ascii="宋体" w:hAnsi="宋体" w:cs="仿宋_GB2312"/>
          <w:color w:val="auto"/>
          <w:kern w:val="0"/>
          <w:sz w:val="32"/>
          <w:szCs w:val="32"/>
          <w:highlight w:val="none"/>
          <w:lang w:val="en-US" w:eastAsia="zh-CN" w:bidi="ar"/>
        </w:rPr>
        <w:t>首都</w:t>
      </w:r>
      <w:r>
        <w:rPr>
          <w:rFonts w:hint="eastAsia" w:ascii="宋体" w:hAnsi="宋体" w:cs="仿宋_GB2312"/>
          <w:color w:val="auto"/>
          <w:kern w:val="0"/>
          <w:sz w:val="32"/>
          <w:szCs w:val="32"/>
          <w:highlight w:val="none"/>
          <w:lang w:bidi="ar"/>
        </w:rPr>
        <w:t>电磁环境</w:t>
      </w:r>
      <w:r>
        <w:rPr>
          <w:rFonts w:hint="eastAsia" w:ascii="宋体" w:hAnsi="宋体" w:cs="仿宋_GB2312"/>
          <w:color w:val="auto"/>
          <w:kern w:val="0"/>
          <w:sz w:val="32"/>
          <w:szCs w:val="32"/>
          <w:highlight w:val="none"/>
          <w:lang w:val="en-US" w:eastAsia="zh-CN" w:bidi="ar"/>
        </w:rPr>
        <w:t>得到进一步规范和净化。</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44" w:name="_Toc22249"/>
      <w:bookmarkStart w:id="145" w:name="_Toc27741"/>
      <w:bookmarkStart w:id="146" w:name="_Toc13727"/>
      <w:r>
        <w:rPr>
          <w:rFonts w:hint="eastAsia" w:ascii="仿宋_GB2312" w:hAnsi="仿宋_GB2312" w:cs="仿宋_GB2312"/>
          <w:iCs/>
          <w:color w:val="auto"/>
          <w:sz w:val="32"/>
          <w:szCs w:val="32"/>
          <w:highlight w:val="none"/>
        </w:rPr>
        <w:t>2.经济效益</w:t>
      </w:r>
      <w:bookmarkEnd w:id="144"/>
      <w:bookmarkEnd w:id="145"/>
      <w:bookmarkEnd w:id="146"/>
    </w:p>
    <w:p>
      <w:pPr>
        <w:adjustRightInd w:val="0"/>
        <w:snapToGrid w:val="0"/>
        <w:spacing w:line="360" w:lineRule="auto"/>
        <w:ind w:firstLine="640" w:firstLineChars="200"/>
        <w:jc w:val="both"/>
        <w:rPr>
          <w:rFonts w:ascii="仿宋_GB2312" w:hAnsi="仿宋_GB2312" w:eastAsia="黑体" w:cs="仿宋_GB2312"/>
          <w:color w:val="auto"/>
          <w:sz w:val="32"/>
          <w:szCs w:val="32"/>
          <w:highlight w:val="none"/>
        </w:rPr>
      </w:pPr>
      <w:r>
        <w:rPr>
          <w:rFonts w:hint="eastAsia" w:ascii="仿宋_GB2312" w:hAnsi="仿宋_GB2312" w:cs="仿宋_GB2312"/>
          <w:color w:val="auto"/>
          <w:sz w:val="32"/>
          <w:szCs w:val="32"/>
          <w:highlight w:val="none"/>
        </w:rPr>
        <w:t>市经信局不断加强完善北京市无线电频率数据库、台站数据库和业余无线电台数据库，当前已实现与其他台站数据库的一体化运行，定期将相关数据上传至国家无线电监测中心数据库，实现“应传尽传”，卫星地球站监管方面实现“应办尽办”，辖区内卫星地球站数据入库率达到100%</w:t>
      </w:r>
      <w:r>
        <w:rPr>
          <w:rFonts w:hint="eastAsia" w:ascii="宋体" w:hAnsi="宋体"/>
          <w:color w:val="auto"/>
          <w:sz w:val="32"/>
          <w:highlight w:val="none"/>
        </w:rPr>
        <w:t>；</w:t>
      </w:r>
      <w:r>
        <w:rPr>
          <w:rFonts w:hint="eastAsia" w:ascii="宋体" w:hAnsi="宋体"/>
          <w:color w:val="auto"/>
          <w:sz w:val="32"/>
          <w:highlight w:val="none"/>
          <w:lang w:val="en-US" w:eastAsia="zh-CN"/>
        </w:rPr>
        <w:t>市经信局</w:t>
      </w:r>
      <w:r>
        <w:rPr>
          <w:rFonts w:hint="eastAsia" w:ascii="宋体" w:hAnsi="宋体"/>
          <w:color w:val="auto"/>
          <w:sz w:val="32"/>
          <w:highlight w:val="none"/>
        </w:rPr>
        <w:t>2023年频占费</w:t>
      </w:r>
      <w:r>
        <w:rPr>
          <w:rFonts w:hint="eastAsia" w:ascii="宋体" w:hAnsi="宋体"/>
          <w:color w:val="auto"/>
          <w:sz w:val="32"/>
          <w:highlight w:val="none"/>
          <w:lang w:val="en-US" w:eastAsia="zh-CN"/>
        </w:rPr>
        <w:t>计划收缴</w:t>
      </w:r>
      <w:r>
        <w:rPr>
          <w:rFonts w:hint="eastAsia" w:ascii="宋体" w:hAnsi="宋体"/>
          <w:color w:val="auto"/>
          <w:sz w:val="32"/>
          <w:highlight w:val="none"/>
        </w:rPr>
        <w:t>1081</w:t>
      </w:r>
      <w:r>
        <w:rPr>
          <w:rFonts w:hint="eastAsia" w:ascii="宋体" w:hAnsi="宋体"/>
          <w:color w:val="auto"/>
          <w:sz w:val="32"/>
          <w:highlight w:val="none"/>
          <w:lang w:val="en-US" w:eastAsia="zh-CN"/>
        </w:rPr>
        <w:t>.</w:t>
      </w:r>
      <w:r>
        <w:rPr>
          <w:rFonts w:hint="eastAsia" w:ascii="宋体" w:hAnsi="宋体"/>
          <w:color w:val="auto"/>
          <w:sz w:val="32"/>
          <w:highlight w:val="none"/>
        </w:rPr>
        <w:t>90</w:t>
      </w:r>
      <w:r>
        <w:rPr>
          <w:rFonts w:hint="eastAsia" w:ascii="宋体" w:hAnsi="宋体"/>
          <w:color w:val="auto"/>
          <w:sz w:val="32"/>
          <w:highlight w:val="none"/>
          <w:lang w:val="en-US" w:eastAsia="zh-CN"/>
        </w:rPr>
        <w:t>万</w:t>
      </w:r>
      <w:r>
        <w:rPr>
          <w:rFonts w:hint="eastAsia" w:ascii="宋体" w:hAnsi="宋体"/>
          <w:color w:val="auto"/>
          <w:sz w:val="32"/>
          <w:highlight w:val="none"/>
        </w:rPr>
        <w:t>元，</w:t>
      </w:r>
      <w:r>
        <w:rPr>
          <w:rFonts w:hint="eastAsia" w:ascii="宋体" w:hAnsi="宋体"/>
          <w:color w:val="auto"/>
          <w:sz w:val="32"/>
          <w:highlight w:val="none"/>
          <w:lang w:val="en-US" w:eastAsia="zh-CN"/>
        </w:rPr>
        <w:t>实际收缴</w:t>
      </w:r>
      <w:r>
        <w:rPr>
          <w:rFonts w:hint="eastAsia" w:ascii="宋体" w:hAnsi="宋体"/>
          <w:color w:val="auto"/>
          <w:sz w:val="32"/>
          <w:highlight w:val="none"/>
        </w:rPr>
        <w:t>1191</w:t>
      </w:r>
      <w:r>
        <w:rPr>
          <w:rFonts w:hint="eastAsia" w:ascii="宋体" w:hAnsi="宋体"/>
          <w:color w:val="auto"/>
          <w:sz w:val="32"/>
          <w:highlight w:val="none"/>
          <w:lang w:val="en-US" w:eastAsia="zh-CN"/>
        </w:rPr>
        <w:t>.</w:t>
      </w:r>
      <w:r>
        <w:rPr>
          <w:rFonts w:hint="eastAsia" w:ascii="宋体" w:hAnsi="宋体"/>
          <w:color w:val="auto"/>
          <w:sz w:val="32"/>
          <w:highlight w:val="none"/>
        </w:rPr>
        <w:t>09</w:t>
      </w:r>
      <w:r>
        <w:rPr>
          <w:rFonts w:hint="eastAsia" w:ascii="宋体" w:hAnsi="宋体"/>
          <w:color w:val="auto"/>
          <w:sz w:val="32"/>
          <w:highlight w:val="none"/>
          <w:lang w:val="en-US" w:eastAsia="zh-CN"/>
        </w:rPr>
        <w:t>万</w:t>
      </w:r>
      <w:r>
        <w:rPr>
          <w:rFonts w:hint="eastAsia" w:ascii="宋体" w:hAnsi="宋体"/>
          <w:color w:val="auto"/>
          <w:sz w:val="32"/>
          <w:highlight w:val="none"/>
        </w:rPr>
        <w:t>元，按时完成</w:t>
      </w:r>
      <w:r>
        <w:rPr>
          <w:rFonts w:hint="eastAsia" w:ascii="宋体" w:hAnsi="宋体"/>
          <w:color w:val="auto"/>
          <w:sz w:val="32"/>
          <w:highlight w:val="none"/>
          <w:lang w:val="en-US" w:eastAsia="zh-CN"/>
        </w:rPr>
        <w:t>了</w:t>
      </w:r>
      <w:r>
        <w:rPr>
          <w:rFonts w:hint="eastAsia" w:ascii="宋体" w:hAnsi="宋体"/>
          <w:color w:val="auto"/>
          <w:sz w:val="32"/>
          <w:highlight w:val="none"/>
        </w:rPr>
        <w:t>频占费收缴任务</w:t>
      </w:r>
      <w:r>
        <w:rPr>
          <w:rFonts w:hint="eastAsia" w:ascii="宋体" w:hAnsi="宋体"/>
          <w:color w:val="auto"/>
          <w:sz w:val="32"/>
          <w:highlight w:val="none"/>
          <w:lang w:eastAsia="zh-CN"/>
        </w:rPr>
        <w:t>；</w:t>
      </w:r>
      <w:r>
        <w:rPr>
          <w:rFonts w:hint="eastAsia" w:ascii="宋体" w:hAnsi="宋体"/>
          <w:color w:val="auto"/>
          <w:sz w:val="32"/>
          <w:highlight w:val="none"/>
          <w:lang w:val="en-US" w:eastAsia="zh-CN"/>
        </w:rPr>
        <w:t>市经信局</w:t>
      </w:r>
      <w:r>
        <w:rPr>
          <w:rFonts w:hint="eastAsia" w:ascii="宋体" w:hAnsi="宋体"/>
          <w:color w:val="auto"/>
          <w:sz w:val="32"/>
          <w:highlight w:val="none"/>
        </w:rPr>
        <w:t>按期受理并办结地面业务无线电频率使用许可394个、地面业务无线电台（站）设置使用许可59820个（含公众移动通信基站设置使用许可50553个、业余无线电台设置使用许可3166个、对讲机设置使用许可5468个以及广播电台、雷达站等无线电台（站）设置使用许可633个）、卫星通信网内卫星地球站设置使用许可44个</w:t>
      </w:r>
      <w:r>
        <w:rPr>
          <w:rFonts w:hint="eastAsia" w:ascii="宋体" w:hAnsi="宋体"/>
          <w:color w:val="auto"/>
          <w:sz w:val="32"/>
          <w:highlight w:val="none"/>
          <w:lang w:eastAsia="zh-CN"/>
        </w:rPr>
        <w:t>，</w:t>
      </w:r>
      <w:r>
        <w:rPr>
          <w:rFonts w:hint="eastAsia" w:ascii="宋体" w:hAnsi="宋体"/>
          <w:color w:val="auto"/>
          <w:sz w:val="32"/>
          <w:highlight w:val="none"/>
        </w:rPr>
        <w:t>所有许可均经集体研究决定，并全部按标准和规定时限在线完成审批；2023年度无线电监督检查处共受理无线电领域投诉举报133起</w:t>
      </w:r>
      <w:r>
        <w:rPr>
          <w:rFonts w:hint="eastAsia" w:ascii="宋体" w:hAnsi="宋体"/>
          <w:color w:val="auto"/>
          <w:sz w:val="32"/>
          <w:highlight w:val="none"/>
          <w:lang w:eastAsia="zh-CN"/>
        </w:rPr>
        <w:t>，</w:t>
      </w:r>
      <w:r>
        <w:rPr>
          <w:rFonts w:hint="eastAsia" w:ascii="宋体" w:hAnsi="宋体"/>
          <w:color w:val="auto"/>
          <w:sz w:val="32"/>
          <w:highlight w:val="none"/>
        </w:rPr>
        <w:t>处理行政执法案件共6起，其中行政处罚1起（罚没非法设置无线电设备4台）、责令整改2起、撤销立案1起、行政协调2起，执法过程记录清晰，卷宗完整。</w:t>
      </w:r>
      <w:r>
        <w:rPr>
          <w:rFonts w:ascii="仿宋_GB2312" w:hAnsi="仿宋_GB2312" w:cs="仿宋_GB2312"/>
          <w:color w:val="auto"/>
          <w:sz w:val="32"/>
          <w:szCs w:val="32"/>
          <w:highlight w:val="none"/>
        </w:rPr>
        <w:t>项目实施保障</w:t>
      </w:r>
      <w:r>
        <w:rPr>
          <w:rFonts w:hint="eastAsia" w:ascii="仿宋_GB2312" w:hAnsi="仿宋_GB2312" w:cs="仿宋_GB2312"/>
          <w:color w:val="auto"/>
          <w:sz w:val="32"/>
          <w:szCs w:val="32"/>
          <w:highlight w:val="none"/>
        </w:rPr>
        <w:t>了重点行业</w:t>
      </w:r>
      <w:r>
        <w:rPr>
          <w:rFonts w:ascii="仿宋_GB2312" w:hAnsi="仿宋_GB2312" w:cs="仿宋_GB2312"/>
          <w:color w:val="auto"/>
          <w:sz w:val="32"/>
          <w:szCs w:val="32"/>
          <w:highlight w:val="none"/>
        </w:rPr>
        <w:t>、单位</w:t>
      </w:r>
      <w:r>
        <w:rPr>
          <w:rFonts w:hint="eastAsia" w:ascii="仿宋_GB2312" w:hAnsi="仿宋_GB2312" w:cs="仿宋_GB2312"/>
          <w:color w:val="auto"/>
          <w:sz w:val="32"/>
          <w:szCs w:val="32"/>
          <w:highlight w:val="none"/>
        </w:rPr>
        <w:t>的</w:t>
      </w:r>
      <w:r>
        <w:rPr>
          <w:rFonts w:ascii="仿宋_GB2312" w:hAnsi="仿宋_GB2312" w:cs="仿宋_GB2312"/>
          <w:color w:val="auto"/>
          <w:sz w:val="32"/>
          <w:szCs w:val="32"/>
          <w:highlight w:val="none"/>
        </w:rPr>
        <w:t>用频需求</w:t>
      </w:r>
      <w:r>
        <w:rPr>
          <w:rFonts w:hint="eastAsia" w:ascii="仿宋_GB2312" w:hAnsi="仿宋_GB2312" w:cs="仿宋_GB2312"/>
          <w:color w:val="auto"/>
          <w:sz w:val="32"/>
          <w:szCs w:val="32"/>
          <w:highlight w:val="none"/>
        </w:rPr>
        <w:t>，提升了</w:t>
      </w:r>
      <w:r>
        <w:rPr>
          <w:rFonts w:ascii="仿宋_GB2312" w:hAnsi="仿宋_GB2312" w:cs="仿宋_GB2312"/>
          <w:color w:val="auto"/>
          <w:sz w:val="32"/>
          <w:szCs w:val="32"/>
          <w:highlight w:val="none"/>
        </w:rPr>
        <w:t>台站管</w:t>
      </w:r>
      <w:r>
        <w:rPr>
          <w:rFonts w:hint="eastAsia" w:ascii="仿宋_GB2312" w:hAnsi="仿宋_GB2312" w:cs="仿宋_GB2312"/>
          <w:color w:val="auto"/>
          <w:sz w:val="32"/>
          <w:szCs w:val="32"/>
          <w:highlight w:val="none"/>
        </w:rPr>
        <w:t>理水平，对无线电事业进步和经济社会发展做出了一定的贡献。</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47" w:name="_Toc18671"/>
      <w:bookmarkStart w:id="148" w:name="_Toc25128"/>
      <w:bookmarkStart w:id="149" w:name="_Toc28892"/>
      <w:r>
        <w:rPr>
          <w:rFonts w:hint="eastAsia" w:ascii="仿宋_GB2312" w:hAnsi="仿宋_GB2312" w:cs="仿宋_GB2312"/>
          <w:iCs/>
          <w:color w:val="auto"/>
          <w:sz w:val="32"/>
          <w:szCs w:val="32"/>
          <w:highlight w:val="none"/>
        </w:rPr>
        <w:t>3.可持续影响</w:t>
      </w:r>
      <w:bookmarkEnd w:id="147"/>
      <w:bookmarkEnd w:id="148"/>
      <w:bookmarkEnd w:id="149"/>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color w:val="auto"/>
          <w:sz w:val="32"/>
          <w:szCs w:val="32"/>
          <w:highlight w:val="none"/>
        </w:rPr>
        <w:t>设备使用方面。</w:t>
      </w:r>
      <w:r>
        <w:rPr>
          <w:rFonts w:hint="eastAsia" w:ascii="仿宋_GB2312" w:hAnsi="仿宋_GB2312" w:cs="仿宋_GB2312"/>
          <w:color w:val="auto"/>
          <w:sz w:val="32"/>
          <w:szCs w:val="32"/>
          <w:highlight w:val="none"/>
        </w:rPr>
        <w:t>市经信局及时向财政部门申请报废</w:t>
      </w:r>
      <w:r>
        <w:rPr>
          <w:rFonts w:hint="eastAsia" w:ascii="仿宋_GB2312" w:hAnsi="仿宋_GB2312" w:cs="仿宋_GB2312"/>
          <w:color w:val="auto"/>
          <w:sz w:val="32"/>
          <w:szCs w:val="32"/>
          <w:highlight w:val="none"/>
          <w:lang w:val="en-US" w:eastAsia="zh-CN"/>
        </w:rPr>
        <w:t>144个无线电管理技术设施</w:t>
      </w:r>
      <w:r>
        <w:rPr>
          <w:rFonts w:hint="eastAsia" w:ascii="仿宋_GB2312" w:hAnsi="仿宋_GB2312" w:cs="仿宋_GB2312"/>
          <w:color w:val="auto"/>
          <w:sz w:val="32"/>
          <w:szCs w:val="32"/>
          <w:highlight w:val="none"/>
        </w:rPr>
        <w:t>，现场抽查</w:t>
      </w:r>
      <w:r>
        <w:rPr>
          <w:rFonts w:hint="eastAsia" w:ascii="仿宋_GB2312" w:hAnsi="仿宋_GB2312" w:cs="仿宋_GB2312"/>
          <w:color w:val="auto"/>
          <w:sz w:val="32"/>
          <w:szCs w:val="32"/>
          <w:highlight w:val="none"/>
          <w:lang w:val="en-US" w:eastAsia="zh-CN"/>
        </w:rPr>
        <w:t>设施设备均可正常使用</w:t>
      </w:r>
      <w:r>
        <w:rPr>
          <w:rFonts w:hint="eastAsia" w:ascii="仿宋_GB2312" w:hAnsi="仿宋_GB2312" w:cs="仿宋_GB2312"/>
          <w:color w:val="auto"/>
          <w:sz w:val="32"/>
          <w:szCs w:val="32"/>
          <w:highlight w:val="none"/>
        </w:rPr>
        <w:t>，设备使用记录完整，各类设备均有效使用，能够支撑无线电管理日常工作顺利进行。</w:t>
      </w:r>
    </w:p>
    <w:p>
      <w:pPr>
        <w:adjustRightInd w:val="0"/>
        <w:snapToGrid w:val="0"/>
        <w:spacing w:line="360" w:lineRule="auto"/>
        <w:ind w:firstLine="643" w:firstLineChars="200"/>
        <w:rPr>
          <w:rFonts w:hint="default" w:ascii="仿宋_GB2312" w:hAnsi="仿宋_GB2312" w:eastAsia="仿宋_GB2312" w:cs="仿宋_GB2312"/>
          <w:b w:val="0"/>
          <w:bCs/>
          <w:color w:val="auto"/>
          <w:sz w:val="32"/>
          <w:szCs w:val="32"/>
          <w:highlight w:val="none"/>
          <w:lang w:val="en-US" w:eastAsia="zh-CN"/>
        </w:rPr>
      </w:pPr>
      <w:r>
        <w:rPr>
          <w:rFonts w:hint="eastAsia" w:ascii="仿宋_GB2312" w:hAnsi="仿宋_GB2312" w:cs="仿宋_GB2312"/>
          <w:b/>
          <w:color w:val="auto"/>
          <w:sz w:val="32"/>
          <w:szCs w:val="32"/>
          <w:highlight w:val="none"/>
        </w:rPr>
        <w:t>人才队伍建设方面。</w:t>
      </w:r>
      <w:r>
        <w:rPr>
          <w:rFonts w:hint="eastAsia" w:ascii="仿宋_GB2312" w:hAnsi="仿宋_GB2312" w:cs="仿宋_GB2312"/>
          <w:b w:val="0"/>
          <w:bCs/>
          <w:color w:val="auto"/>
          <w:sz w:val="32"/>
          <w:szCs w:val="32"/>
          <w:highlight w:val="none"/>
          <w:lang w:val="en-US" w:eastAsia="zh-CN"/>
        </w:rPr>
        <w:t>2023年度市经信局共组织政治理论、无线电专业知识、行政办公等培训30余次，人均培训大于60学时；监测站积极开展《质量手册》《程序文件》宣贯、仪器设备操作和安全教育、行业论坛等活动；制定了监测技术全国演练准备工作日程计划、应急演练技术概要、演练场景、演练脚本等材料，演练项目多样、内容丰富，取得了较好的演练成果；完成了</w:t>
      </w:r>
      <w:r>
        <w:rPr>
          <w:rFonts w:hint="eastAsia" w:ascii="仿宋_GB2312" w:hAnsi="仿宋_GB2312" w:cs="仿宋_GB2312"/>
          <w:bCs/>
          <w:color w:val="auto"/>
          <w:sz w:val="32"/>
          <w:szCs w:val="32"/>
          <w:highlight w:val="none"/>
        </w:rPr>
        <w:t>2023年北京市无线电监测站无线电干扰排查分析及对策建议</w:t>
      </w:r>
      <w:r>
        <w:rPr>
          <w:rFonts w:hint="eastAsia" w:ascii="仿宋_GB2312" w:hAnsi="仿宋_GB2312" w:cs="仿宋_GB2312"/>
          <w:bCs/>
          <w:color w:val="auto"/>
          <w:sz w:val="32"/>
          <w:szCs w:val="32"/>
          <w:highlight w:val="none"/>
          <w:lang w:eastAsia="zh-CN"/>
        </w:rPr>
        <w:t>、</w:t>
      </w:r>
      <w:r>
        <w:rPr>
          <w:rFonts w:hint="eastAsia" w:ascii="仿宋_GB2312" w:hAnsi="仿宋_GB2312" w:cs="仿宋_GB2312"/>
          <w:bCs/>
          <w:color w:val="auto"/>
          <w:sz w:val="32"/>
          <w:szCs w:val="32"/>
          <w:highlight w:val="none"/>
        </w:rPr>
        <w:t>无线电助力北京市智慧城市建设</w:t>
      </w:r>
      <w:r>
        <w:rPr>
          <w:rFonts w:hint="eastAsia" w:ascii="仿宋_GB2312" w:hAnsi="仿宋_GB2312" w:cs="仿宋_GB2312"/>
          <w:bCs/>
          <w:color w:val="auto"/>
          <w:sz w:val="32"/>
          <w:szCs w:val="32"/>
          <w:highlight w:val="none"/>
          <w:lang w:val="en-US" w:eastAsia="zh-CN"/>
        </w:rPr>
        <w:t>等课题研究，监测站参与研发的集电磁环境测试和监测测向功能于一体的新型监测车等项目成果获得2023年中国无线电协会科学技术奖。</w:t>
      </w:r>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color w:val="auto"/>
          <w:sz w:val="32"/>
          <w:szCs w:val="32"/>
          <w:highlight w:val="none"/>
        </w:rPr>
        <w:t>普法宣传方面。</w:t>
      </w:r>
      <w:r>
        <w:rPr>
          <w:rFonts w:hint="eastAsia" w:ascii="仿宋_GB2312" w:hAnsi="仿宋_GB2312" w:cs="仿宋_GB2312"/>
          <w:b w:val="0"/>
          <w:bCs/>
          <w:color w:val="auto"/>
          <w:sz w:val="32"/>
          <w:szCs w:val="32"/>
          <w:highlight w:val="none"/>
          <w:lang w:val="en-US" w:eastAsia="zh-CN"/>
        </w:rPr>
        <w:t>2023年，</w:t>
      </w:r>
      <w:r>
        <w:rPr>
          <w:rFonts w:hint="eastAsia" w:ascii="仿宋_GB2312" w:hAnsi="仿宋_GB2312" w:cs="仿宋_GB2312"/>
          <w:color w:val="auto"/>
          <w:sz w:val="32"/>
          <w:szCs w:val="32"/>
          <w:highlight w:val="none"/>
        </w:rPr>
        <w:t>市经信局</w:t>
      </w:r>
      <w:r>
        <w:rPr>
          <w:rFonts w:ascii="仿宋_GB2312" w:hAnsi="仿宋_GB2312" w:cs="仿宋_GB2312"/>
          <w:color w:val="auto"/>
          <w:sz w:val="32"/>
          <w:szCs w:val="32"/>
          <w:highlight w:val="none"/>
        </w:rPr>
        <w:t>加大了</w:t>
      </w:r>
      <w:r>
        <w:rPr>
          <w:rFonts w:hint="eastAsia" w:ascii="仿宋_GB2312" w:hAnsi="仿宋_GB2312" w:cs="仿宋_GB2312"/>
          <w:color w:val="auto"/>
          <w:sz w:val="32"/>
          <w:szCs w:val="32"/>
          <w:highlight w:val="none"/>
        </w:rPr>
        <w:t>各区</w:t>
      </w:r>
      <w:r>
        <w:rPr>
          <w:rFonts w:ascii="仿宋_GB2312" w:hAnsi="仿宋_GB2312" w:cs="仿宋_GB2312"/>
          <w:color w:val="auto"/>
          <w:sz w:val="32"/>
          <w:szCs w:val="32"/>
          <w:highlight w:val="none"/>
        </w:rPr>
        <w:t>无线电管理</w:t>
      </w:r>
      <w:r>
        <w:rPr>
          <w:rFonts w:hint="eastAsia" w:ascii="仿宋_GB2312" w:hAnsi="仿宋_GB2312" w:cs="仿宋_GB2312"/>
          <w:color w:val="auto"/>
          <w:sz w:val="32"/>
          <w:szCs w:val="32"/>
          <w:highlight w:val="none"/>
        </w:rPr>
        <w:t>宣传工作</w:t>
      </w:r>
      <w:r>
        <w:rPr>
          <w:rFonts w:ascii="仿宋_GB2312" w:hAnsi="仿宋_GB2312" w:cs="仿宋_GB2312"/>
          <w:color w:val="auto"/>
          <w:sz w:val="32"/>
          <w:szCs w:val="32"/>
          <w:highlight w:val="none"/>
        </w:rPr>
        <w:t>力度</w:t>
      </w:r>
      <w:r>
        <w:rPr>
          <w:rFonts w:hint="eastAsia" w:ascii="仿宋_GB2312" w:hAnsi="仿宋_GB2312" w:cs="仿宋_GB2312"/>
          <w:color w:val="auto"/>
          <w:sz w:val="32"/>
          <w:szCs w:val="32"/>
          <w:highlight w:val="none"/>
        </w:rPr>
        <w:t>，在区、市、国家三级媒体上发布无线电宣传文稿36篇，其中国家级媒体5篇、市级媒体13篇，同时开展“无线电宣传月活动”等公益宣传，有力提升了无线电管理部门形象，一定程度上增强公众遵守无线电管理法律法规的自觉性，向社会各界普及无线电相关知识，取得良好的普法宣传效果。</w:t>
      </w:r>
    </w:p>
    <w:p>
      <w:pPr>
        <w:adjustRightInd w:val="0"/>
        <w:snapToGrid w:val="0"/>
        <w:spacing w:line="360" w:lineRule="auto"/>
        <w:ind w:firstLine="643" w:firstLineChars="200"/>
        <w:rPr>
          <w:rFonts w:ascii="仿宋_GB2312" w:hAnsi="仿宋_GB2312" w:cs="仿宋_GB2312"/>
          <w:color w:val="auto"/>
          <w:sz w:val="32"/>
          <w:szCs w:val="32"/>
          <w:highlight w:val="none"/>
        </w:rPr>
      </w:pPr>
      <w:r>
        <w:rPr>
          <w:rFonts w:hint="eastAsia" w:ascii="仿宋_GB2312" w:hAnsi="仿宋_GB2312" w:cs="仿宋_GB2312"/>
          <w:b/>
          <w:color w:val="auto"/>
          <w:sz w:val="32"/>
          <w:szCs w:val="32"/>
          <w:highlight w:val="none"/>
        </w:rPr>
        <w:t>资金整改方面。</w:t>
      </w:r>
      <w:r>
        <w:rPr>
          <w:rFonts w:hint="eastAsia" w:ascii="仿宋_GB2312" w:hAnsi="仿宋_GB2312" w:cs="仿宋_GB2312"/>
          <w:color w:val="auto"/>
          <w:sz w:val="32"/>
          <w:szCs w:val="32"/>
          <w:highlight w:val="none"/>
        </w:rPr>
        <w:t>市经信局对202</w:t>
      </w:r>
      <w:r>
        <w:rPr>
          <w:rFonts w:hint="eastAsia" w:ascii="仿宋_GB2312" w:hAnsi="仿宋_GB2312" w:cs="仿宋_GB2312"/>
          <w:color w:val="auto"/>
          <w:sz w:val="32"/>
          <w:szCs w:val="32"/>
          <w:highlight w:val="none"/>
          <w:lang w:val="en-US" w:eastAsia="zh-CN"/>
        </w:rPr>
        <w:t>2</w:t>
      </w:r>
      <w:r>
        <w:rPr>
          <w:rFonts w:hint="eastAsia" w:ascii="仿宋_GB2312" w:hAnsi="仿宋_GB2312" w:cs="仿宋_GB2312"/>
          <w:color w:val="auto"/>
          <w:sz w:val="32"/>
          <w:szCs w:val="32"/>
          <w:highlight w:val="none"/>
        </w:rPr>
        <w:t>年审计和财务检查中提出的问题均已完成整改。</w:t>
      </w:r>
      <w:r>
        <w:rPr>
          <w:rFonts w:hint="eastAsia" w:ascii="仿宋_GB2312" w:hAnsi="仿宋_GB2312" w:cs="仿宋_GB2312"/>
          <w:b/>
          <w:bCs/>
          <w:color w:val="auto"/>
          <w:sz w:val="32"/>
          <w:szCs w:val="32"/>
          <w:highlight w:val="none"/>
          <w:lang w:val="en-US" w:eastAsia="zh-CN"/>
        </w:rPr>
        <w:t>一是</w:t>
      </w:r>
      <w:r>
        <w:rPr>
          <w:rFonts w:hint="eastAsia" w:ascii="仿宋_GB2312" w:hAnsi="仿宋_GB2312" w:cs="仿宋_GB2312"/>
          <w:color w:val="auto"/>
          <w:sz w:val="32"/>
          <w:szCs w:val="32"/>
          <w:highlight w:val="none"/>
          <w:lang w:val="en-US" w:eastAsia="zh-CN"/>
        </w:rPr>
        <w:t>“缺少区域绩效目标，个别绩效指标设置不够细化”，2023年市经信局编制了区域绩效目标表，细化了绩效指标</w:t>
      </w:r>
      <w:r>
        <w:rPr>
          <w:rFonts w:hint="eastAsia" w:ascii="仿宋_GB2312" w:hAnsi="仿宋_GB2312" w:cs="仿宋_GB2312"/>
          <w:color w:val="auto"/>
          <w:sz w:val="32"/>
          <w:szCs w:val="32"/>
          <w:highlight w:val="none"/>
          <w:lang w:eastAsia="zh-CN"/>
        </w:rPr>
        <w:t>；</w:t>
      </w:r>
      <w:r>
        <w:rPr>
          <w:rFonts w:hint="eastAsia" w:ascii="仿宋_GB2312" w:hAnsi="仿宋_GB2312" w:cs="仿宋_GB2312"/>
          <w:b/>
          <w:bCs/>
          <w:color w:val="auto"/>
          <w:sz w:val="32"/>
          <w:szCs w:val="32"/>
          <w:highlight w:val="none"/>
          <w:lang w:val="en-US" w:eastAsia="zh-CN"/>
        </w:rPr>
        <w:t>二</w:t>
      </w:r>
      <w:r>
        <w:rPr>
          <w:rFonts w:hint="eastAsia" w:ascii="仿宋_GB2312" w:hAnsi="仿宋_GB2312" w:cs="仿宋_GB2312"/>
          <w:b/>
          <w:bCs/>
          <w:color w:val="auto"/>
          <w:sz w:val="32"/>
          <w:szCs w:val="32"/>
          <w:highlight w:val="none"/>
        </w:rPr>
        <w:t>是</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预算执行率偏低，202</w:t>
      </w:r>
      <w:r>
        <w:rPr>
          <w:rFonts w:hint="eastAsia" w:ascii="仿宋_GB2312" w:hAnsi="仿宋_GB2312" w:cs="仿宋_GB2312"/>
          <w:color w:val="auto"/>
          <w:sz w:val="32"/>
          <w:szCs w:val="32"/>
          <w:highlight w:val="none"/>
          <w:lang w:val="en-US" w:eastAsia="zh-CN"/>
        </w:rPr>
        <w:t>2</w:t>
      </w:r>
      <w:r>
        <w:rPr>
          <w:rFonts w:hint="eastAsia" w:ascii="仿宋_GB2312" w:hAnsi="仿宋_GB2312" w:cs="仿宋_GB2312"/>
          <w:color w:val="auto"/>
          <w:sz w:val="32"/>
          <w:szCs w:val="32"/>
          <w:highlight w:val="none"/>
        </w:rPr>
        <w:t>年预算执行率为61.</w:t>
      </w:r>
      <w:r>
        <w:rPr>
          <w:rFonts w:hint="eastAsia" w:ascii="仿宋_GB2312" w:hAnsi="仿宋_GB2312" w:cs="仿宋_GB2312"/>
          <w:color w:val="auto"/>
          <w:sz w:val="32"/>
          <w:szCs w:val="32"/>
          <w:highlight w:val="none"/>
          <w:lang w:val="en-US" w:eastAsia="zh-CN"/>
        </w:rPr>
        <w:t>15</w:t>
      </w:r>
      <w:r>
        <w:rPr>
          <w:rFonts w:hint="eastAsia" w:ascii="仿宋_GB2312" w:hAnsi="仿宋_GB2312" w:cs="仿宋_GB2312"/>
          <w:color w:val="auto"/>
          <w:sz w:val="32"/>
          <w:szCs w:val="32"/>
          <w:highlight w:val="none"/>
        </w:rPr>
        <w:t>%</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w:t>
      </w:r>
      <w:r>
        <w:rPr>
          <w:rFonts w:hint="eastAsia" w:ascii="仿宋_GB2312" w:hAnsi="仿宋_GB2312" w:cs="仿宋_GB2312"/>
          <w:color w:val="auto"/>
          <w:sz w:val="32"/>
          <w:szCs w:val="32"/>
          <w:highlight w:val="none"/>
          <w:lang w:val="en-US" w:eastAsia="zh-CN"/>
        </w:rPr>
        <w:t>2022年</w:t>
      </w:r>
      <w:r>
        <w:rPr>
          <w:rFonts w:hint="eastAsia" w:ascii="仿宋_GB2312" w:hAnsi="仿宋_GB2312" w:cs="仿宋_GB2312"/>
          <w:color w:val="auto"/>
          <w:sz w:val="32"/>
          <w:szCs w:val="32"/>
          <w:highlight w:val="none"/>
        </w:rPr>
        <w:t>结转资金在202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年已支出，结余资金已上缴</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2023年度进一步加强项目管理，较2022年提高了项目预算执行率</w:t>
      </w:r>
      <w:r>
        <w:rPr>
          <w:rFonts w:hint="eastAsia" w:ascii="仿宋_GB2312" w:hAnsi="仿宋_GB2312" w:cs="仿宋_GB2312"/>
          <w:color w:val="auto"/>
          <w:sz w:val="32"/>
          <w:szCs w:val="32"/>
          <w:highlight w:val="none"/>
        </w:rPr>
        <w:t>；</w:t>
      </w:r>
      <w:r>
        <w:rPr>
          <w:rFonts w:hint="eastAsia" w:ascii="仿宋_GB2312" w:hAnsi="仿宋_GB2312" w:cs="仿宋_GB2312"/>
          <w:b/>
          <w:bCs/>
          <w:color w:val="auto"/>
          <w:sz w:val="32"/>
          <w:szCs w:val="32"/>
          <w:highlight w:val="none"/>
        </w:rPr>
        <w:t>三是</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rPr>
        <w:t>合同管理不够规范，未按合同约定及时付款</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2023年市经信局加强了合同管理，合同款及时按照合同约定支付。</w:t>
      </w:r>
    </w:p>
    <w:p>
      <w:pPr>
        <w:adjustRightInd w:val="0"/>
        <w:snapToGrid w:val="0"/>
        <w:spacing w:line="360" w:lineRule="auto"/>
        <w:ind w:firstLine="640" w:firstLineChars="200"/>
        <w:outlineLvl w:val="2"/>
        <w:rPr>
          <w:rFonts w:ascii="仿宋_GB2312" w:hAnsi="仿宋_GB2312" w:cs="仿宋_GB2312"/>
          <w:iCs/>
          <w:color w:val="auto"/>
          <w:sz w:val="32"/>
          <w:szCs w:val="32"/>
          <w:highlight w:val="none"/>
        </w:rPr>
      </w:pPr>
      <w:bookmarkStart w:id="150" w:name="_Toc30121"/>
      <w:bookmarkStart w:id="151" w:name="_Toc13092"/>
      <w:bookmarkStart w:id="152" w:name="_Toc15993"/>
      <w:r>
        <w:rPr>
          <w:rFonts w:hint="eastAsia" w:ascii="仿宋_GB2312" w:hAnsi="仿宋_GB2312" w:cs="仿宋_GB2312"/>
          <w:iCs/>
          <w:color w:val="auto"/>
          <w:sz w:val="32"/>
          <w:szCs w:val="32"/>
          <w:highlight w:val="none"/>
        </w:rPr>
        <w:t>4.满意度</w:t>
      </w:r>
      <w:bookmarkEnd w:id="150"/>
      <w:bookmarkEnd w:id="151"/>
      <w:bookmarkEnd w:id="152"/>
    </w:p>
    <w:p>
      <w:pPr>
        <w:adjustRightInd w:val="0"/>
        <w:snapToGrid w:val="0"/>
        <w:spacing w:line="360" w:lineRule="auto"/>
        <w:ind w:firstLine="640" w:firstLineChars="20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项目实施保障了民航、铁路、教育等部门的用频需求，使相关部门工作能够正常开展，年度内获得多家单位的表扬和表彰，满意度情况好，具体来看：</w:t>
      </w:r>
      <w:r>
        <w:rPr>
          <w:rFonts w:hint="eastAsia" w:ascii="仿宋_GB2312" w:hAnsi="仿宋_GB2312" w:cs="仿宋_GB2312"/>
          <w:b/>
          <w:color w:val="auto"/>
          <w:sz w:val="32"/>
          <w:szCs w:val="32"/>
          <w:highlight w:val="none"/>
        </w:rPr>
        <w:t>一是</w:t>
      </w:r>
      <w:r>
        <w:rPr>
          <w:rFonts w:hint="eastAsia" w:ascii="仿宋_GB2312" w:hAnsi="仿宋_GB2312" w:cs="仿宋_GB2312"/>
          <w:b w:val="0"/>
          <w:bCs/>
          <w:color w:val="auto"/>
          <w:sz w:val="32"/>
          <w:szCs w:val="32"/>
          <w:highlight w:val="none"/>
          <w:lang w:val="en-US" w:eastAsia="zh-CN"/>
        </w:rPr>
        <w:t>2023年市经信局向</w:t>
      </w:r>
      <w:r>
        <w:rPr>
          <w:rFonts w:hint="eastAsia" w:ascii="仿宋_GB2312" w:hAnsi="仿宋_GB2312" w:cs="仿宋_GB2312"/>
          <w:color w:val="auto"/>
          <w:sz w:val="32"/>
          <w:szCs w:val="32"/>
          <w:highlight w:val="none"/>
        </w:rPr>
        <w:t>中央电视塔管理中心、北京地铁通号分公司、北京电信、民航华北空管局、民航数据通信有限责任公司</w:t>
      </w:r>
      <w:r>
        <w:rPr>
          <w:rFonts w:hint="eastAsia" w:ascii="仿宋_GB2312" w:hAnsi="仿宋_GB2312" w:cs="仿宋_GB2312"/>
          <w:color w:val="auto"/>
          <w:sz w:val="32"/>
          <w:szCs w:val="32"/>
          <w:highlight w:val="none"/>
          <w:lang w:eastAsia="zh-CN"/>
        </w:rPr>
        <w:t>等</w:t>
      </w:r>
      <w:r>
        <w:rPr>
          <w:rFonts w:hint="eastAsia" w:ascii="仿宋_GB2312" w:hAnsi="仿宋_GB2312" w:cs="仿宋_GB2312"/>
          <w:color w:val="auto"/>
          <w:sz w:val="32"/>
          <w:szCs w:val="32"/>
          <w:highlight w:val="none"/>
        </w:rPr>
        <w:t>单位</w:t>
      </w:r>
      <w:r>
        <w:rPr>
          <w:rFonts w:hint="eastAsia" w:ascii="仿宋_GB2312" w:hAnsi="仿宋_GB2312" w:cs="仿宋_GB2312"/>
          <w:color w:val="auto"/>
          <w:sz w:val="32"/>
          <w:szCs w:val="32"/>
          <w:highlight w:val="none"/>
          <w:lang w:val="en-US" w:eastAsia="zh-CN"/>
        </w:rPr>
        <w:t>发放</w:t>
      </w:r>
      <w:r>
        <w:rPr>
          <w:rFonts w:hint="eastAsia" w:ascii="仿宋_GB2312" w:hAnsi="仿宋_GB2312" w:cs="仿宋_GB2312"/>
          <w:color w:val="auto"/>
          <w:sz w:val="32"/>
          <w:szCs w:val="32"/>
          <w:highlight w:val="none"/>
        </w:rPr>
        <w:t>满意度调查</w:t>
      </w:r>
      <w:r>
        <w:rPr>
          <w:rFonts w:hint="eastAsia" w:ascii="仿宋_GB2312" w:hAnsi="仿宋_GB2312" w:cs="仿宋_GB2312"/>
          <w:color w:val="auto"/>
          <w:sz w:val="32"/>
          <w:szCs w:val="32"/>
          <w:highlight w:val="none"/>
          <w:lang w:val="en-US" w:eastAsia="zh-CN"/>
        </w:rPr>
        <w:t>表</w:t>
      </w:r>
      <w:r>
        <w:rPr>
          <w:rFonts w:hint="eastAsia" w:ascii="仿宋_GB2312" w:hAnsi="仿宋_GB2312" w:cs="仿宋_GB2312"/>
          <w:color w:val="auto"/>
          <w:sz w:val="32"/>
          <w:szCs w:val="32"/>
          <w:highlight w:val="none"/>
        </w:rPr>
        <w:t>，服务态度、技术水平、检测报告的内容和质量等方面得到服务对象认可，服务对象满意度均为100%</w:t>
      </w:r>
      <w:r>
        <w:rPr>
          <w:rFonts w:hint="eastAsia" w:ascii="仿宋_GB2312" w:hAnsi="仿宋_GB2312" w:cs="仿宋_GB2312"/>
          <w:color w:val="auto"/>
          <w:sz w:val="32"/>
          <w:szCs w:val="32"/>
          <w:highlight w:val="none"/>
          <w:lang w:eastAsia="zh-CN"/>
        </w:rPr>
        <w:t>。</w:t>
      </w:r>
      <w:r>
        <w:rPr>
          <w:rFonts w:hint="eastAsia" w:ascii="仿宋_GB2312" w:hAnsi="仿宋_GB2312" w:cs="仿宋_GB2312"/>
          <w:b/>
          <w:color w:val="auto"/>
          <w:sz w:val="32"/>
          <w:szCs w:val="32"/>
          <w:highlight w:val="none"/>
        </w:rPr>
        <w:t>二是</w:t>
      </w:r>
      <w:r>
        <w:rPr>
          <w:rFonts w:hint="eastAsia" w:ascii="仿宋_GB2312" w:hAnsi="仿宋_GB2312" w:cs="仿宋_GB2312"/>
          <w:b w:val="0"/>
          <w:bCs/>
          <w:color w:val="auto"/>
          <w:sz w:val="32"/>
          <w:szCs w:val="32"/>
          <w:highlight w:val="none"/>
          <w:lang w:val="en-US" w:eastAsia="zh-CN"/>
        </w:rPr>
        <w:t>市委市政府领导对市经信局和监测站在北京“23·7”特大暴雨的防汛救灾无线电应急保障工作给予肯定性批示</w:t>
      </w:r>
      <w:r>
        <w:rPr>
          <w:rFonts w:hint="eastAsia" w:ascii="仿宋_GB2312" w:hAnsi="仿宋_GB2312" w:cs="仿宋_GB2312"/>
          <w:b w:val="0"/>
          <w:bCs/>
          <w:color w:val="auto"/>
          <w:sz w:val="32"/>
          <w:szCs w:val="32"/>
          <w:highlight w:val="none"/>
        </w:rPr>
        <w:t>；</w:t>
      </w:r>
      <w:r>
        <w:rPr>
          <w:rFonts w:hint="eastAsia" w:ascii="仿宋_GB2312" w:hAnsi="仿宋_GB2312" w:cs="仿宋_GB2312"/>
          <w:b/>
          <w:bCs w:val="0"/>
          <w:color w:val="auto"/>
          <w:sz w:val="32"/>
          <w:szCs w:val="32"/>
          <w:highlight w:val="none"/>
        </w:rPr>
        <w:t>三是</w:t>
      </w:r>
      <w:r>
        <w:rPr>
          <w:rFonts w:hint="eastAsia" w:ascii="仿宋_GB2312" w:hAnsi="仿宋_GB2312" w:cs="仿宋_GB2312"/>
          <w:b w:val="0"/>
          <w:bCs/>
          <w:color w:val="auto"/>
          <w:sz w:val="32"/>
          <w:szCs w:val="32"/>
          <w:highlight w:val="none"/>
          <w:lang w:val="en-US" w:eastAsia="zh-CN"/>
        </w:rPr>
        <w:t>市经信局无线电监测站</w:t>
      </w:r>
      <w:r>
        <w:rPr>
          <w:rFonts w:hint="eastAsia" w:ascii="仿宋_GB2312" w:hAnsi="仿宋_GB2312" w:cs="仿宋_GB2312"/>
          <w:color w:val="auto"/>
          <w:sz w:val="32"/>
          <w:szCs w:val="32"/>
          <w:highlight w:val="none"/>
        </w:rPr>
        <w:t>作为2023年度应急值守工作先进基层单位获得北京市突发事件应急委员会办公室表扬</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监</w:t>
      </w:r>
      <w:r>
        <w:rPr>
          <w:rFonts w:hint="eastAsia" w:ascii="仿宋_GB2312" w:hAnsi="仿宋_GB2312" w:cs="仿宋_GB2312"/>
          <w:color w:val="auto"/>
          <w:sz w:val="32"/>
          <w:szCs w:val="32"/>
          <w:highlight w:val="none"/>
          <w:lang w:eastAsia="zh-CN"/>
        </w:rPr>
        <w:t>测站李哲同志配合市森林防灭火部门做好无线电频率指配、台站设置使用等相关工作，荣获北京市森林防火指挥部和北京市人社局颁发的“北京市森林防灭火先进个人”称号</w:t>
      </w:r>
      <w:bookmarkStart w:id="153" w:name="_Toc336506903"/>
      <w:bookmarkStart w:id="154" w:name="_Toc336506968"/>
      <w:bookmarkStart w:id="155" w:name="_Toc336506969"/>
      <w:bookmarkStart w:id="156" w:name="_Toc55475196"/>
      <w:bookmarkStart w:id="157" w:name="_Toc336506904"/>
      <w:r>
        <w:rPr>
          <w:rFonts w:hint="eastAsia" w:ascii="仿宋_GB2312" w:hAnsi="仿宋_GB2312" w:cs="仿宋_GB2312"/>
          <w:color w:val="auto"/>
          <w:sz w:val="32"/>
          <w:szCs w:val="32"/>
          <w:highlight w:val="none"/>
        </w:rPr>
        <w:t>；</w:t>
      </w:r>
      <w:r>
        <w:rPr>
          <w:rFonts w:hint="eastAsia" w:ascii="仿宋_GB2312" w:hAnsi="仿宋_GB2312" w:cs="仿宋_GB2312"/>
          <w:b/>
          <w:color w:val="auto"/>
          <w:sz w:val="32"/>
          <w:szCs w:val="32"/>
          <w:highlight w:val="none"/>
        </w:rPr>
        <w:t>四是</w:t>
      </w:r>
      <w:r>
        <w:rPr>
          <w:rFonts w:hint="eastAsia" w:ascii="仿宋_GB2312" w:hAnsi="仿宋_GB2312" w:cs="仿宋_GB2312"/>
          <w:b w:val="0"/>
          <w:bCs/>
          <w:color w:val="auto"/>
          <w:sz w:val="32"/>
          <w:szCs w:val="32"/>
          <w:highlight w:val="none"/>
          <w:lang w:val="en-US" w:eastAsia="zh-CN"/>
        </w:rPr>
        <w:t>市经信局</w:t>
      </w:r>
      <w:r>
        <w:rPr>
          <w:rFonts w:hint="eastAsia" w:ascii="仿宋_GB2312" w:hAnsi="仿宋_GB2312" w:cs="仿宋_GB2312"/>
          <w:b w:val="0"/>
          <w:bCs/>
          <w:color w:val="auto"/>
          <w:sz w:val="32"/>
          <w:szCs w:val="32"/>
          <w:highlight w:val="none"/>
        </w:rPr>
        <w:t>在国家无线电管理办公室组织的2023年度地方无线电管理机构综合评价中，综合得分位居全国第4，直辖市第1</w:t>
      </w:r>
      <w:r>
        <w:rPr>
          <w:rFonts w:hint="eastAsia" w:ascii="仿宋_GB2312" w:hAnsi="仿宋_GB2312" w:cs="仿宋_GB2312"/>
          <w:color w:val="auto"/>
          <w:sz w:val="32"/>
          <w:szCs w:val="32"/>
          <w:highlight w:val="none"/>
        </w:rPr>
        <w:t>。</w:t>
      </w:r>
    </w:p>
    <w:bookmarkEnd w:id="153"/>
    <w:bookmarkEnd w:id="154"/>
    <w:bookmarkEnd w:id="155"/>
    <w:bookmarkEnd w:id="156"/>
    <w:bookmarkEnd w:id="157"/>
    <w:p>
      <w:pPr>
        <w:adjustRightInd w:val="0"/>
        <w:snapToGrid w:val="0"/>
        <w:spacing w:line="360" w:lineRule="auto"/>
        <w:ind w:firstLine="640" w:firstLineChars="200"/>
        <w:outlineLvl w:val="0"/>
        <w:rPr>
          <w:rFonts w:hint="eastAsia" w:ascii="黑体" w:hAnsi="黑体" w:eastAsia="黑体"/>
          <w:bCs/>
          <w:color w:val="auto"/>
          <w:sz w:val="32"/>
          <w:szCs w:val="32"/>
          <w:highlight w:val="none"/>
        </w:rPr>
      </w:pPr>
      <w:bookmarkStart w:id="158" w:name="_Toc9303"/>
      <w:bookmarkStart w:id="159" w:name="_Toc4518"/>
      <w:bookmarkStart w:id="160" w:name="_Toc2817"/>
      <w:bookmarkStart w:id="161" w:name="_Toc28488"/>
      <w:r>
        <w:rPr>
          <w:rFonts w:hint="eastAsia" w:ascii="黑体" w:hAnsi="黑体" w:eastAsia="黑体"/>
          <w:bCs/>
          <w:color w:val="auto"/>
          <w:sz w:val="32"/>
          <w:szCs w:val="32"/>
          <w:highlight w:val="none"/>
        </w:rPr>
        <w:t>五、主要经验做法</w:t>
      </w:r>
      <w:bookmarkEnd w:id="89"/>
      <w:bookmarkEnd w:id="158"/>
      <w:bookmarkEnd w:id="159"/>
      <w:bookmarkEnd w:id="160"/>
      <w:bookmarkEnd w:id="161"/>
    </w:p>
    <w:p>
      <w:pPr>
        <w:adjustRightInd w:val="0"/>
        <w:snapToGrid w:val="0"/>
        <w:spacing w:line="360" w:lineRule="auto"/>
        <w:ind w:firstLine="640" w:firstLineChars="200"/>
        <w:outlineLvl w:val="1"/>
        <w:rPr>
          <w:rFonts w:hint="eastAsia" w:ascii="楷体_GB2312" w:hAnsi="楷体" w:eastAsia="楷体_GB2312"/>
          <w:bCs/>
          <w:color w:val="auto"/>
          <w:sz w:val="32"/>
          <w:szCs w:val="32"/>
          <w:highlight w:val="none"/>
          <w:lang w:val="en-US" w:eastAsia="zh-CN"/>
        </w:rPr>
      </w:pPr>
      <w:bookmarkStart w:id="162" w:name="_Toc23655"/>
      <w:bookmarkStart w:id="163" w:name="_Toc30527"/>
      <w:bookmarkStart w:id="164" w:name="_Toc3012"/>
      <w:bookmarkStart w:id="165" w:name="_Toc17704"/>
      <w:r>
        <w:rPr>
          <w:rFonts w:hint="eastAsia" w:ascii="楷体_GB2312" w:hAnsi="楷体" w:eastAsia="楷体_GB2312"/>
          <w:bCs/>
          <w:color w:val="auto"/>
          <w:sz w:val="32"/>
          <w:szCs w:val="32"/>
          <w:highlight w:val="none"/>
          <w:lang w:eastAsia="zh-CN"/>
        </w:rPr>
        <w:t>（</w:t>
      </w:r>
      <w:r>
        <w:rPr>
          <w:rFonts w:hint="eastAsia" w:ascii="楷体_GB2312" w:hAnsi="楷体" w:eastAsia="楷体_GB2312"/>
          <w:bCs/>
          <w:color w:val="auto"/>
          <w:sz w:val="32"/>
          <w:szCs w:val="32"/>
          <w:highlight w:val="none"/>
          <w:lang w:val="en-US" w:eastAsia="zh-CN"/>
        </w:rPr>
        <w:t>一</w:t>
      </w:r>
      <w:r>
        <w:rPr>
          <w:rFonts w:hint="eastAsia" w:ascii="楷体_GB2312" w:hAnsi="楷体" w:eastAsia="楷体_GB2312"/>
          <w:bCs/>
          <w:color w:val="auto"/>
          <w:sz w:val="32"/>
          <w:szCs w:val="32"/>
          <w:highlight w:val="none"/>
          <w:lang w:eastAsia="zh-CN"/>
        </w:rPr>
        <w:t>）</w:t>
      </w:r>
      <w:r>
        <w:rPr>
          <w:rFonts w:hint="eastAsia" w:ascii="楷体_GB2312" w:hAnsi="楷体" w:eastAsia="楷体_GB2312" w:cs="Times New Roman"/>
          <w:bCs/>
          <w:color w:val="auto"/>
          <w:sz w:val="32"/>
          <w:szCs w:val="32"/>
          <w:highlight w:val="none"/>
          <w:lang w:val="en-US" w:eastAsia="zh-CN"/>
        </w:rPr>
        <w:t>多措并举，护航</w:t>
      </w:r>
      <w:r>
        <w:rPr>
          <w:rFonts w:hint="eastAsia" w:ascii="楷体_GB2312" w:hAnsi="楷体" w:eastAsia="楷体_GB2312"/>
          <w:bCs/>
          <w:color w:val="auto"/>
          <w:sz w:val="32"/>
          <w:szCs w:val="32"/>
          <w:highlight w:val="none"/>
          <w:lang w:val="en-US" w:eastAsia="zh-CN"/>
        </w:rPr>
        <w:t>全国“两会”顺利召开</w:t>
      </w:r>
      <w:bookmarkEnd w:id="162"/>
      <w:bookmarkEnd w:id="163"/>
      <w:bookmarkEnd w:id="164"/>
      <w:bookmarkEnd w:id="165"/>
    </w:p>
    <w:p>
      <w:pPr>
        <w:adjustRightInd w:val="0"/>
        <w:snapToGrid w:val="0"/>
        <w:spacing w:line="360" w:lineRule="auto"/>
        <w:ind w:firstLine="643" w:firstLineChars="200"/>
        <w:outlineLvl w:val="9"/>
        <w:rPr>
          <w:rFonts w:hint="eastAsia" w:ascii="仿宋_GB2312" w:hAnsi="Times New Roman" w:cs="仿宋_GB2312"/>
          <w:color w:val="auto"/>
          <w:sz w:val="32"/>
          <w:szCs w:val="32"/>
          <w:highlight w:val="none"/>
          <w:lang w:val="en-US" w:eastAsia="zh-CN"/>
        </w:rPr>
      </w:pPr>
      <w:r>
        <w:rPr>
          <w:rFonts w:hint="eastAsia" w:ascii="仿宋_GB2312" w:hAnsi="仿宋_GB2312" w:eastAsia="仿宋_GB2312" w:cs="仿宋_GB2312"/>
          <w:b/>
          <w:bCs/>
          <w:color w:val="auto"/>
          <w:sz w:val="32"/>
          <w:szCs w:val="32"/>
          <w:highlight w:val="none"/>
          <w:lang w:val="en-US" w:eastAsia="zh-CN"/>
        </w:rPr>
        <w:t>一是</w:t>
      </w:r>
      <w:r>
        <w:rPr>
          <w:rFonts w:hint="eastAsia" w:ascii="仿宋_GB2312" w:hAnsi="仿宋_GB2312" w:cs="仿宋_GB2312"/>
          <w:b/>
          <w:bCs/>
          <w:color w:val="auto"/>
          <w:sz w:val="32"/>
          <w:szCs w:val="32"/>
          <w:highlight w:val="none"/>
          <w:lang w:val="en-US" w:eastAsia="zh-CN"/>
        </w:rPr>
        <w:t>多部门协调联动，形成打击合力，净化电磁环境。</w:t>
      </w:r>
      <w:r>
        <w:rPr>
          <w:rFonts w:hint="eastAsia" w:ascii="仿宋_GB2312" w:hAnsi="仿宋_GB2312" w:cs="仿宋_GB2312"/>
          <w:bCs w:val="0"/>
          <w:color w:val="auto"/>
          <w:sz w:val="32"/>
          <w:szCs w:val="32"/>
          <w:highlight w:val="none"/>
          <w:lang w:val="en-US" w:eastAsia="zh-CN"/>
        </w:rPr>
        <w:t>市经信局在2023年全国“两会”保障期间，按照工信部</w:t>
      </w:r>
      <w:r>
        <w:rPr>
          <w:rFonts w:hint="eastAsia" w:ascii="仿宋_GB2312" w:hAnsi="Times New Roman" w:eastAsia="仿宋_GB2312" w:cs="仿宋_GB2312"/>
          <w:color w:val="auto"/>
          <w:sz w:val="32"/>
          <w:szCs w:val="32"/>
          <w:highlight w:val="none"/>
        </w:rPr>
        <w:t>无线电管理局和公安部通知要求</w:t>
      </w:r>
      <w:r>
        <w:rPr>
          <w:rFonts w:hint="eastAsia" w:ascii="仿宋_GB2312" w:hAnsi="Times New Roman" w:cs="仿宋_GB2312"/>
          <w:color w:val="auto"/>
          <w:sz w:val="32"/>
          <w:szCs w:val="32"/>
          <w:highlight w:val="none"/>
          <w:lang w:eastAsia="zh-CN"/>
        </w:rPr>
        <w:t>，</w:t>
      </w:r>
      <w:r>
        <w:rPr>
          <w:rFonts w:ascii="仿宋_GB2312" w:hAnsi="Times New Roman" w:eastAsia="仿宋_GB2312" w:cs="仿宋_GB2312"/>
          <w:color w:val="auto"/>
          <w:sz w:val="32"/>
          <w:szCs w:val="32"/>
          <w:highlight w:val="none"/>
        </w:rPr>
        <w:t>开展了</w:t>
      </w:r>
      <w:r>
        <w:rPr>
          <w:rFonts w:hint="eastAsia" w:ascii="仿宋_GB2312" w:hAnsi="Times New Roman" w:eastAsia="仿宋_GB2312" w:cs="仿宋_GB2312"/>
          <w:color w:val="auto"/>
          <w:sz w:val="32"/>
          <w:szCs w:val="32"/>
          <w:highlight w:val="none"/>
        </w:rPr>
        <w:t>集中</w:t>
      </w:r>
      <w:r>
        <w:rPr>
          <w:rFonts w:ascii="仿宋_GB2312" w:hAnsi="Times New Roman" w:eastAsia="仿宋_GB2312" w:cs="仿宋_GB2312"/>
          <w:color w:val="auto"/>
          <w:sz w:val="32"/>
          <w:szCs w:val="32"/>
          <w:highlight w:val="none"/>
        </w:rPr>
        <w:t>打击治理“黑广播”“伪基站”违法犯罪专项行动。</w:t>
      </w:r>
      <w:r>
        <w:rPr>
          <w:rFonts w:hint="eastAsia" w:ascii="仿宋_GB2312" w:hAnsi="Times New Roman" w:cs="仿宋_GB2312"/>
          <w:color w:val="auto"/>
          <w:sz w:val="32"/>
          <w:szCs w:val="32"/>
          <w:highlight w:val="none"/>
          <w:lang w:val="en-US" w:eastAsia="zh-CN"/>
        </w:rPr>
        <w:t>在专项行动中，市经信局</w:t>
      </w:r>
      <w:r>
        <w:rPr>
          <w:rFonts w:hint="eastAsia" w:ascii="仿宋_GB2312" w:hAnsi="Times New Roman" w:eastAsia="仿宋_GB2312" w:cs="仿宋_GB2312"/>
          <w:color w:val="auto"/>
          <w:sz w:val="32"/>
          <w:szCs w:val="32"/>
          <w:highlight w:val="none"/>
        </w:rPr>
        <w:t>落实属地主体责任，成立专门领导机构，</w:t>
      </w:r>
      <w:r>
        <w:rPr>
          <w:rFonts w:hint="eastAsia" w:ascii="仿宋_GB2312" w:hAnsi="Times New Roman" w:cs="仿宋_GB2312"/>
          <w:color w:val="auto"/>
          <w:sz w:val="32"/>
          <w:szCs w:val="32"/>
          <w:highlight w:val="none"/>
          <w:lang w:val="en-US" w:eastAsia="zh-CN"/>
        </w:rPr>
        <w:t>细化制定方案预案</w:t>
      </w:r>
      <w:r>
        <w:rPr>
          <w:rFonts w:hint="eastAsia" w:ascii="仿宋_GB2312" w:cs="仿宋_GB2312"/>
          <w:color w:val="auto"/>
          <w:sz w:val="32"/>
          <w:szCs w:val="32"/>
          <w:highlight w:val="none"/>
          <w:lang w:val="en-US" w:eastAsia="zh-CN"/>
        </w:rPr>
        <w:t>。此外，</w:t>
      </w:r>
      <w:r>
        <w:rPr>
          <w:rFonts w:hint="eastAsia" w:ascii="仿宋_GB2312" w:hAnsi="Times New Roman" w:cs="仿宋_GB2312"/>
          <w:b w:val="0"/>
          <w:bCs w:val="0"/>
          <w:color w:val="auto"/>
          <w:sz w:val="32"/>
          <w:szCs w:val="32"/>
          <w:highlight w:val="none"/>
          <w:lang w:val="en-US" w:eastAsia="zh-CN"/>
        </w:rPr>
        <w:t>市经信局</w:t>
      </w:r>
      <w:r>
        <w:rPr>
          <w:rFonts w:hint="eastAsia" w:ascii="仿宋_GB2312" w:cs="仿宋_GB2312"/>
          <w:b w:val="0"/>
          <w:bCs w:val="0"/>
          <w:color w:val="auto"/>
          <w:sz w:val="32"/>
          <w:szCs w:val="32"/>
          <w:highlight w:val="none"/>
          <w:lang w:val="en-US" w:eastAsia="zh-CN"/>
        </w:rPr>
        <w:t>通过</w:t>
      </w:r>
      <w:r>
        <w:rPr>
          <w:rFonts w:hint="eastAsia" w:ascii="仿宋_GB2312" w:hAnsi="Times New Roman" w:cs="仿宋_GB2312"/>
          <w:b w:val="0"/>
          <w:bCs w:val="0"/>
          <w:color w:val="auto"/>
          <w:sz w:val="32"/>
          <w:szCs w:val="32"/>
          <w:highlight w:val="none"/>
          <w:lang w:val="en-US" w:eastAsia="zh-CN"/>
        </w:rPr>
        <w:t>多部门工作协调机制</w:t>
      </w:r>
      <w:r>
        <w:rPr>
          <w:rFonts w:hint="eastAsia" w:ascii="仿宋_GB2312" w:hAnsi="Times New Roman" w:cs="仿宋_GB2312"/>
          <w:color w:val="auto"/>
          <w:sz w:val="32"/>
          <w:szCs w:val="32"/>
          <w:highlight w:val="none"/>
          <w:lang w:val="en-US" w:eastAsia="zh-CN"/>
        </w:rPr>
        <w:t>，</w:t>
      </w:r>
      <w:r>
        <w:rPr>
          <w:rFonts w:hint="eastAsia" w:ascii="仿宋_GB2312" w:eastAsia="仿宋_GB2312" w:cs="仿宋_GB2312"/>
          <w:color w:val="auto"/>
          <w:sz w:val="32"/>
          <w:szCs w:val="32"/>
          <w:highlight w:val="none"/>
        </w:rPr>
        <w:t>与</w:t>
      </w:r>
      <w:r>
        <w:rPr>
          <w:rFonts w:ascii="仿宋_GB2312" w:eastAsia="仿宋_GB2312" w:cs="仿宋_GB2312"/>
          <w:color w:val="auto"/>
          <w:sz w:val="32"/>
          <w:szCs w:val="32"/>
          <w:highlight w:val="none"/>
        </w:rPr>
        <w:t>市广电局、市公安局、市文化</w:t>
      </w:r>
      <w:r>
        <w:rPr>
          <w:rFonts w:hint="eastAsia" w:ascii="仿宋_GB2312" w:eastAsia="仿宋_GB2312" w:cs="仿宋_GB2312"/>
          <w:color w:val="auto"/>
          <w:sz w:val="32"/>
          <w:szCs w:val="32"/>
          <w:highlight w:val="none"/>
        </w:rPr>
        <w:t>市场</w:t>
      </w:r>
      <w:r>
        <w:rPr>
          <w:rFonts w:ascii="仿宋_GB2312" w:eastAsia="仿宋_GB2312" w:cs="仿宋_GB2312"/>
          <w:color w:val="auto"/>
          <w:sz w:val="32"/>
          <w:szCs w:val="32"/>
          <w:highlight w:val="none"/>
        </w:rPr>
        <w:t>综合执法总队</w:t>
      </w:r>
      <w:r>
        <w:rPr>
          <w:rFonts w:hint="eastAsia" w:ascii="仿宋_GB2312" w:eastAsia="仿宋_GB2312" w:cs="仿宋_GB2312"/>
          <w:color w:val="auto"/>
          <w:sz w:val="32"/>
          <w:szCs w:val="32"/>
          <w:highlight w:val="none"/>
        </w:rPr>
        <w:t>等</w:t>
      </w:r>
      <w:r>
        <w:rPr>
          <w:rFonts w:ascii="仿宋_GB2312" w:eastAsia="仿宋_GB2312" w:cs="仿宋_GB2312"/>
          <w:color w:val="auto"/>
          <w:sz w:val="32"/>
          <w:szCs w:val="32"/>
          <w:highlight w:val="none"/>
        </w:rPr>
        <w:t>单位</w:t>
      </w:r>
      <w:r>
        <w:rPr>
          <w:rFonts w:hint="eastAsia" w:ascii="仿宋_GB2312" w:eastAsia="仿宋_GB2312" w:cs="仿宋_GB2312"/>
          <w:color w:val="auto"/>
          <w:sz w:val="32"/>
          <w:szCs w:val="32"/>
          <w:highlight w:val="none"/>
        </w:rPr>
        <w:t>联合打击“黑广播”，集中监测定位各类疑似黑广播</w:t>
      </w:r>
      <w:r>
        <w:rPr>
          <w:rFonts w:ascii="仿宋_GB2312" w:eastAsia="仿宋_GB2312" w:cs="仿宋_GB2312"/>
          <w:color w:val="auto"/>
          <w:sz w:val="32"/>
          <w:szCs w:val="32"/>
          <w:highlight w:val="none"/>
        </w:rPr>
        <w:t>信号</w:t>
      </w:r>
      <w:r>
        <w:rPr>
          <w:rFonts w:hint="eastAsia" w:ascii="仿宋_GB2312" w:cs="仿宋_GB2312"/>
          <w:color w:val="auto"/>
          <w:sz w:val="32"/>
          <w:szCs w:val="32"/>
          <w:highlight w:val="none"/>
          <w:lang w:eastAsia="zh-CN"/>
        </w:rPr>
        <w:t>；</w:t>
      </w:r>
      <w:r>
        <w:rPr>
          <w:rFonts w:hint="eastAsia" w:ascii="仿宋_GB2312" w:cs="仿宋_GB2312"/>
          <w:color w:val="auto"/>
          <w:sz w:val="32"/>
          <w:szCs w:val="32"/>
          <w:highlight w:val="none"/>
          <w:lang w:val="en-US" w:eastAsia="zh-CN"/>
        </w:rPr>
        <w:t>与天津、河北无线电</w:t>
      </w:r>
      <w:r>
        <w:rPr>
          <w:rFonts w:hint="eastAsia" w:ascii="仿宋_GB2312" w:hAnsi="Times New Roman" w:eastAsia="仿宋_GB2312" w:cs="仿宋_GB2312"/>
          <w:color w:val="auto"/>
          <w:sz w:val="32"/>
          <w:szCs w:val="32"/>
          <w:highlight w:val="none"/>
        </w:rPr>
        <w:t>管理机构组建</w:t>
      </w:r>
      <w:r>
        <w:rPr>
          <w:rFonts w:ascii="仿宋_GB2312" w:hAnsi="Times New Roman" w:eastAsia="仿宋_GB2312" w:cs="仿宋_GB2312"/>
          <w:color w:val="auto"/>
          <w:sz w:val="32"/>
          <w:szCs w:val="32"/>
          <w:highlight w:val="none"/>
        </w:rPr>
        <w:t>京津冀无线电管理联席制度</w:t>
      </w:r>
      <w:r>
        <w:rPr>
          <w:rFonts w:hint="eastAsia" w:ascii="仿宋_GB2312" w:hAnsi="Times New Roman" w:cs="仿宋_GB2312"/>
          <w:color w:val="auto"/>
          <w:sz w:val="32"/>
          <w:szCs w:val="32"/>
          <w:highlight w:val="none"/>
          <w:lang w:eastAsia="zh-CN"/>
        </w:rPr>
        <w:t>，</w:t>
      </w:r>
      <w:r>
        <w:rPr>
          <w:rFonts w:hint="eastAsia" w:ascii="仿宋_GB2312" w:hAnsi="Times New Roman" w:eastAsia="仿宋_GB2312" w:cs="仿宋_GB2312"/>
          <w:color w:val="auto"/>
          <w:sz w:val="32"/>
          <w:szCs w:val="32"/>
          <w:highlight w:val="none"/>
        </w:rPr>
        <w:t>建立</w:t>
      </w:r>
      <w:r>
        <w:rPr>
          <w:rFonts w:ascii="仿宋_GB2312" w:hAnsi="Times New Roman" w:eastAsia="仿宋_GB2312" w:cs="仿宋_GB2312"/>
          <w:color w:val="auto"/>
          <w:sz w:val="32"/>
          <w:szCs w:val="32"/>
          <w:highlight w:val="none"/>
        </w:rPr>
        <w:t>“黑广播”打击工作群</w:t>
      </w:r>
      <w:r>
        <w:rPr>
          <w:rFonts w:hint="eastAsia" w:ascii="仿宋_GB2312" w:hAnsi="Times New Roman" w:cs="仿宋_GB2312"/>
          <w:color w:val="auto"/>
          <w:sz w:val="32"/>
          <w:szCs w:val="32"/>
          <w:highlight w:val="none"/>
          <w:lang w:eastAsia="zh-CN"/>
        </w:rPr>
        <w:t>，</w:t>
      </w:r>
      <w:r>
        <w:rPr>
          <w:rFonts w:hint="eastAsia" w:ascii="仿宋_GB2312" w:hAnsi="Times New Roman" w:eastAsia="仿宋_GB2312" w:cs="仿宋_GB2312"/>
          <w:color w:val="auto"/>
          <w:sz w:val="32"/>
          <w:szCs w:val="32"/>
          <w:highlight w:val="none"/>
        </w:rPr>
        <w:t>形成京津冀一体联动</w:t>
      </w:r>
      <w:r>
        <w:rPr>
          <w:rFonts w:hint="eastAsia" w:ascii="仿宋_GB2312" w:hAnsi="Times New Roman" w:cs="仿宋_GB2312"/>
          <w:color w:val="auto"/>
          <w:sz w:val="32"/>
          <w:szCs w:val="32"/>
          <w:highlight w:val="none"/>
          <w:lang w:eastAsia="zh-CN"/>
        </w:rPr>
        <w:t>，</w:t>
      </w:r>
      <w:r>
        <w:rPr>
          <w:rFonts w:hint="eastAsia" w:ascii="仿宋_GB2312" w:eastAsia="仿宋_GB2312" w:cs="仿宋_GB2312"/>
          <w:color w:val="auto"/>
          <w:sz w:val="32"/>
          <w:szCs w:val="32"/>
          <w:highlight w:val="none"/>
        </w:rPr>
        <w:t>严密</w:t>
      </w:r>
      <w:r>
        <w:rPr>
          <w:rFonts w:ascii="仿宋_GB2312" w:eastAsia="仿宋_GB2312" w:cs="仿宋_GB2312"/>
          <w:color w:val="auto"/>
          <w:sz w:val="32"/>
          <w:szCs w:val="32"/>
          <w:highlight w:val="none"/>
        </w:rPr>
        <w:t>防范环京地区</w:t>
      </w:r>
      <w:r>
        <w:rPr>
          <w:rFonts w:hint="eastAsia" w:ascii="仿宋_GB2312" w:eastAsia="仿宋_GB2312" w:cs="仿宋_GB2312"/>
          <w:color w:val="auto"/>
          <w:sz w:val="32"/>
          <w:szCs w:val="32"/>
          <w:highlight w:val="none"/>
        </w:rPr>
        <w:t>黑广播</w:t>
      </w:r>
      <w:r>
        <w:rPr>
          <w:rFonts w:ascii="仿宋_GB2312" w:eastAsia="仿宋_GB2312" w:cs="仿宋_GB2312"/>
          <w:color w:val="auto"/>
          <w:sz w:val="32"/>
          <w:szCs w:val="32"/>
          <w:highlight w:val="none"/>
        </w:rPr>
        <w:t>信号</w:t>
      </w:r>
      <w:r>
        <w:rPr>
          <w:rFonts w:hint="eastAsia" w:ascii="仿宋_GB2312" w:cs="仿宋_GB2312"/>
          <w:color w:val="auto"/>
          <w:sz w:val="32"/>
          <w:szCs w:val="32"/>
          <w:highlight w:val="none"/>
          <w:lang w:eastAsia="zh-CN"/>
        </w:rPr>
        <w:t>，</w:t>
      </w:r>
      <w:r>
        <w:rPr>
          <w:rFonts w:hint="eastAsia" w:ascii="仿宋_GB2312" w:cs="仿宋_GB2312"/>
          <w:color w:val="auto"/>
          <w:sz w:val="32"/>
          <w:szCs w:val="32"/>
          <w:highlight w:val="none"/>
          <w:lang w:val="en-US" w:eastAsia="zh-CN"/>
        </w:rPr>
        <w:t>及时开展</w:t>
      </w:r>
      <w:r>
        <w:rPr>
          <w:rFonts w:hint="eastAsia" w:ascii="仿宋_GB2312" w:hAnsi="Times New Roman" w:cs="仿宋_GB2312"/>
          <w:color w:val="auto"/>
          <w:sz w:val="32"/>
          <w:szCs w:val="32"/>
          <w:highlight w:val="none"/>
          <w:lang w:val="en-US" w:eastAsia="zh-CN"/>
        </w:rPr>
        <w:t>民航、铁路干扰排查，</w:t>
      </w:r>
      <w:r>
        <w:rPr>
          <w:rFonts w:hint="eastAsia" w:ascii="仿宋_GB2312" w:cs="仿宋_GB2312"/>
          <w:color w:val="auto"/>
          <w:sz w:val="32"/>
          <w:szCs w:val="32"/>
          <w:highlight w:val="none"/>
          <w:lang w:val="en-US" w:eastAsia="zh-CN"/>
        </w:rPr>
        <w:t>及时</w:t>
      </w:r>
      <w:r>
        <w:rPr>
          <w:rFonts w:hint="eastAsia" w:ascii="仿宋_GB2312" w:hAnsi="Times New Roman" w:cs="仿宋_GB2312"/>
          <w:color w:val="auto"/>
          <w:sz w:val="32"/>
          <w:szCs w:val="32"/>
          <w:highlight w:val="none"/>
          <w:lang w:val="en-US" w:eastAsia="zh-CN"/>
        </w:rPr>
        <w:t>有效避免和消除了各类无线电干扰隐患，确保了全国</w:t>
      </w:r>
      <w:r>
        <w:rPr>
          <w:rFonts w:hint="eastAsia" w:ascii="仿宋_GB2312" w:cs="仿宋_GB2312"/>
          <w:color w:val="auto"/>
          <w:sz w:val="32"/>
          <w:szCs w:val="32"/>
          <w:highlight w:val="none"/>
          <w:lang w:val="en-US" w:eastAsia="zh-CN"/>
        </w:rPr>
        <w:t>“</w:t>
      </w:r>
      <w:r>
        <w:rPr>
          <w:rFonts w:hint="eastAsia" w:ascii="仿宋_GB2312" w:hAnsi="Times New Roman" w:cs="仿宋_GB2312"/>
          <w:color w:val="auto"/>
          <w:sz w:val="32"/>
          <w:szCs w:val="32"/>
          <w:highlight w:val="none"/>
          <w:lang w:val="en-US" w:eastAsia="zh-CN"/>
        </w:rPr>
        <w:t>两会</w:t>
      </w:r>
      <w:r>
        <w:rPr>
          <w:rFonts w:hint="eastAsia" w:ascii="仿宋_GB2312" w:cs="仿宋_GB2312"/>
          <w:color w:val="auto"/>
          <w:sz w:val="32"/>
          <w:szCs w:val="32"/>
          <w:highlight w:val="none"/>
          <w:lang w:val="en-US" w:eastAsia="zh-CN"/>
        </w:rPr>
        <w:t>”</w:t>
      </w:r>
      <w:r>
        <w:rPr>
          <w:rFonts w:hint="eastAsia" w:ascii="仿宋_GB2312" w:hAnsi="Times New Roman" w:cs="仿宋_GB2312"/>
          <w:color w:val="auto"/>
          <w:sz w:val="32"/>
          <w:szCs w:val="32"/>
          <w:highlight w:val="none"/>
          <w:lang w:val="en-US" w:eastAsia="zh-CN"/>
        </w:rPr>
        <w:t>安全保卫、指挥调度、电视转播、新闻宣传、会议服务等各环节无线电设备正常运行。</w:t>
      </w:r>
    </w:p>
    <w:p>
      <w:pPr>
        <w:adjustRightInd w:val="0"/>
        <w:snapToGrid w:val="0"/>
        <w:spacing w:line="360" w:lineRule="auto"/>
        <w:ind w:firstLine="643" w:firstLineChars="200"/>
        <w:outlineLvl w:val="9"/>
        <w:rPr>
          <w:rFonts w:hint="eastAsia" w:ascii="仿宋_GB2312"/>
          <w:color w:val="auto"/>
          <w:sz w:val="32"/>
          <w:szCs w:val="32"/>
          <w:highlight w:val="none"/>
          <w:lang w:val="en-US" w:eastAsia="zh-CN"/>
        </w:rPr>
      </w:pPr>
      <w:r>
        <w:rPr>
          <w:rFonts w:hint="eastAsia" w:ascii="仿宋_GB2312" w:cs="仿宋_GB2312"/>
          <w:b/>
          <w:bCs/>
          <w:color w:val="auto"/>
          <w:sz w:val="32"/>
          <w:szCs w:val="32"/>
          <w:highlight w:val="none"/>
          <w:lang w:val="en-US" w:eastAsia="zh-CN"/>
        </w:rPr>
        <w:t>二是注重技术创新，加强基础设施建设，做好基础安全保障。</w:t>
      </w:r>
      <w:r>
        <w:rPr>
          <w:rFonts w:hint="eastAsia" w:ascii="仿宋_GB2312" w:cs="仿宋_GB2312"/>
          <w:b w:val="0"/>
          <w:bCs w:val="0"/>
          <w:color w:val="auto"/>
          <w:sz w:val="32"/>
          <w:szCs w:val="32"/>
          <w:highlight w:val="none"/>
          <w:lang w:val="en-US" w:eastAsia="zh-CN"/>
        </w:rPr>
        <w:t>为保障2023年全国“两会”的顺利进行，市经信局</w:t>
      </w:r>
      <w:r>
        <w:rPr>
          <w:rFonts w:hint="eastAsia" w:ascii="仿宋_GB2312" w:eastAsia="仿宋_GB2312"/>
          <w:color w:val="auto"/>
          <w:sz w:val="32"/>
          <w:szCs w:val="32"/>
          <w:highlight w:val="none"/>
        </w:rPr>
        <w:t>加强无线电管理技术手段建设</w:t>
      </w:r>
      <w:r>
        <w:rPr>
          <w:rFonts w:hint="eastAsia" w:ascii="仿宋_GB2312"/>
          <w:color w:val="auto"/>
          <w:sz w:val="32"/>
          <w:szCs w:val="32"/>
          <w:highlight w:val="none"/>
          <w:lang w:eastAsia="zh-CN"/>
        </w:rPr>
        <w:t>，</w:t>
      </w:r>
      <w:r>
        <w:rPr>
          <w:rFonts w:hint="eastAsia" w:ascii="仿宋_GB2312" w:eastAsia="仿宋_GB2312"/>
          <w:color w:val="auto"/>
          <w:sz w:val="32"/>
          <w:szCs w:val="32"/>
          <w:highlight w:val="none"/>
        </w:rPr>
        <w:t>配备</w:t>
      </w:r>
      <w:r>
        <w:rPr>
          <w:rFonts w:ascii="仿宋_GB2312" w:eastAsia="仿宋_GB2312"/>
          <w:color w:val="auto"/>
          <w:sz w:val="32"/>
          <w:szCs w:val="32"/>
          <w:highlight w:val="none"/>
        </w:rPr>
        <w:t>黑广播专项监测系统</w:t>
      </w:r>
      <w:r>
        <w:rPr>
          <w:rFonts w:hint="eastAsia" w:ascii="仿宋_GB2312" w:eastAsia="仿宋_GB2312"/>
          <w:color w:val="auto"/>
          <w:sz w:val="32"/>
          <w:szCs w:val="32"/>
          <w:highlight w:val="none"/>
        </w:rPr>
        <w:t>和</w:t>
      </w:r>
      <w:r>
        <w:rPr>
          <w:rFonts w:ascii="仿宋_GB2312" w:eastAsia="仿宋_GB2312"/>
          <w:color w:val="auto"/>
          <w:sz w:val="32"/>
          <w:szCs w:val="32"/>
          <w:highlight w:val="none"/>
        </w:rPr>
        <w:t>伪基站查找定位设备</w:t>
      </w:r>
      <w:r>
        <w:rPr>
          <w:rFonts w:hint="eastAsia" w:ascii="仿宋_GB2312"/>
          <w:color w:val="auto"/>
          <w:sz w:val="32"/>
          <w:szCs w:val="32"/>
          <w:highlight w:val="none"/>
          <w:lang w:eastAsia="zh-CN"/>
        </w:rPr>
        <w:t>，</w:t>
      </w:r>
      <w:r>
        <w:rPr>
          <w:rFonts w:hint="eastAsia" w:ascii="仿宋_GB2312"/>
          <w:color w:val="auto"/>
          <w:sz w:val="32"/>
          <w:szCs w:val="32"/>
          <w:highlight w:val="none"/>
          <w:lang w:val="en-US" w:eastAsia="zh-CN"/>
        </w:rPr>
        <w:t>对</w:t>
      </w:r>
      <w:r>
        <w:rPr>
          <w:rFonts w:hint="eastAsia" w:ascii="仿宋_GB2312" w:eastAsia="仿宋_GB2312"/>
          <w:color w:val="auto"/>
          <w:sz w:val="32"/>
          <w:szCs w:val="32"/>
          <w:highlight w:val="none"/>
        </w:rPr>
        <w:t>“</w:t>
      </w:r>
      <w:r>
        <w:rPr>
          <w:rFonts w:ascii="仿宋_GB2312" w:eastAsia="仿宋_GB2312"/>
          <w:color w:val="auto"/>
          <w:sz w:val="32"/>
          <w:szCs w:val="32"/>
          <w:highlight w:val="none"/>
        </w:rPr>
        <w:t>黑广播</w:t>
      </w:r>
      <w:r>
        <w:rPr>
          <w:rFonts w:hint="eastAsia" w:ascii="仿宋_GB2312" w:eastAsia="仿宋_GB2312"/>
          <w:color w:val="auto"/>
          <w:sz w:val="32"/>
          <w:szCs w:val="32"/>
          <w:highlight w:val="none"/>
        </w:rPr>
        <w:t>”“</w:t>
      </w:r>
      <w:r>
        <w:rPr>
          <w:rFonts w:ascii="仿宋_GB2312" w:eastAsia="仿宋_GB2312"/>
          <w:color w:val="auto"/>
          <w:sz w:val="32"/>
          <w:szCs w:val="32"/>
          <w:highlight w:val="none"/>
        </w:rPr>
        <w:t>伪基站</w:t>
      </w:r>
      <w:r>
        <w:rPr>
          <w:rFonts w:hint="eastAsia" w:ascii="仿宋_GB2312" w:eastAsia="仿宋_GB2312"/>
          <w:color w:val="auto"/>
          <w:sz w:val="32"/>
          <w:szCs w:val="32"/>
          <w:highlight w:val="none"/>
        </w:rPr>
        <w:t>”</w:t>
      </w:r>
      <w:r>
        <w:rPr>
          <w:rFonts w:ascii="仿宋_GB2312" w:eastAsia="仿宋_GB2312"/>
          <w:color w:val="auto"/>
          <w:sz w:val="32"/>
          <w:szCs w:val="32"/>
          <w:highlight w:val="none"/>
        </w:rPr>
        <w:t>信号</w:t>
      </w:r>
      <w:r>
        <w:rPr>
          <w:rFonts w:hint="eastAsia" w:ascii="仿宋_GB2312"/>
          <w:color w:val="auto"/>
          <w:sz w:val="32"/>
          <w:szCs w:val="32"/>
          <w:highlight w:val="none"/>
          <w:lang w:val="en-US" w:eastAsia="zh-CN"/>
        </w:rPr>
        <w:t>进行</w:t>
      </w:r>
      <w:r>
        <w:rPr>
          <w:rFonts w:ascii="仿宋_GB2312" w:eastAsia="仿宋_GB2312"/>
          <w:color w:val="auto"/>
          <w:sz w:val="32"/>
          <w:szCs w:val="32"/>
          <w:highlight w:val="none"/>
        </w:rPr>
        <w:t>实时监测</w:t>
      </w:r>
      <w:r>
        <w:rPr>
          <w:rFonts w:hint="eastAsia" w:ascii="仿宋_GB2312"/>
          <w:color w:val="auto"/>
          <w:sz w:val="32"/>
          <w:szCs w:val="32"/>
          <w:highlight w:val="none"/>
          <w:lang w:val="en-US" w:eastAsia="zh-CN"/>
        </w:rPr>
        <w:t>和记录</w:t>
      </w:r>
      <w:r>
        <w:rPr>
          <w:rFonts w:hint="eastAsia" w:ascii="仿宋_GB2312"/>
          <w:color w:val="auto"/>
          <w:sz w:val="32"/>
          <w:szCs w:val="32"/>
          <w:highlight w:val="none"/>
          <w:lang w:eastAsia="zh-CN"/>
        </w:rPr>
        <w:t>，</w:t>
      </w:r>
      <w:r>
        <w:rPr>
          <w:rFonts w:ascii="仿宋_GB2312" w:eastAsia="仿宋_GB2312"/>
          <w:color w:val="auto"/>
          <w:sz w:val="32"/>
          <w:szCs w:val="32"/>
          <w:highlight w:val="none"/>
        </w:rPr>
        <w:t>确保</w:t>
      </w:r>
      <w:r>
        <w:rPr>
          <w:rFonts w:hint="eastAsia" w:ascii="仿宋_GB2312" w:eastAsia="仿宋_GB2312"/>
          <w:color w:val="auto"/>
          <w:sz w:val="32"/>
          <w:szCs w:val="32"/>
          <w:highlight w:val="none"/>
        </w:rPr>
        <w:t>“</w:t>
      </w:r>
      <w:r>
        <w:rPr>
          <w:rFonts w:ascii="仿宋_GB2312" w:eastAsia="仿宋_GB2312"/>
          <w:color w:val="auto"/>
          <w:sz w:val="32"/>
          <w:szCs w:val="32"/>
          <w:highlight w:val="none"/>
        </w:rPr>
        <w:t>黑广播</w:t>
      </w:r>
      <w:r>
        <w:rPr>
          <w:rFonts w:hint="eastAsia" w:ascii="仿宋_GB2312" w:eastAsia="仿宋_GB2312"/>
          <w:color w:val="auto"/>
          <w:sz w:val="32"/>
          <w:szCs w:val="32"/>
          <w:highlight w:val="none"/>
        </w:rPr>
        <w:t>”</w:t>
      </w:r>
      <w:r>
        <w:rPr>
          <w:rFonts w:ascii="仿宋_GB2312" w:eastAsia="仿宋_GB2312"/>
          <w:color w:val="auto"/>
          <w:sz w:val="32"/>
          <w:szCs w:val="32"/>
          <w:highlight w:val="none"/>
        </w:rPr>
        <w:t>非法信号的及时发现、迅速甄别、快速处置</w:t>
      </w:r>
      <w:r>
        <w:rPr>
          <w:rFonts w:hint="eastAsia" w:ascii="仿宋_GB2312"/>
          <w:color w:val="auto"/>
          <w:sz w:val="32"/>
          <w:szCs w:val="32"/>
          <w:highlight w:val="none"/>
          <w:lang w:eastAsia="zh-CN"/>
        </w:rPr>
        <w:t>，</w:t>
      </w:r>
      <w:r>
        <w:rPr>
          <w:rFonts w:hint="eastAsia" w:ascii="仿宋_GB2312"/>
          <w:color w:val="auto"/>
          <w:sz w:val="32"/>
          <w:szCs w:val="32"/>
          <w:highlight w:val="none"/>
          <w:lang w:val="en-US" w:eastAsia="zh-CN"/>
        </w:rPr>
        <w:t>保障全国“两会”期间无线电安全。</w:t>
      </w:r>
    </w:p>
    <w:p>
      <w:pPr>
        <w:numPr>
          <w:ilvl w:val="-1"/>
          <w:numId w:val="0"/>
        </w:numPr>
        <w:adjustRightInd w:val="0"/>
        <w:snapToGrid w:val="0"/>
        <w:spacing w:line="360" w:lineRule="auto"/>
        <w:ind w:firstLine="640" w:firstLineChars="200"/>
        <w:outlineLvl w:val="1"/>
        <w:rPr>
          <w:rFonts w:hint="eastAsia" w:ascii="楷体_GB2312" w:hAnsi="楷体" w:eastAsia="楷体_GB2312"/>
          <w:b w:val="0"/>
          <w:bCs/>
          <w:color w:val="auto"/>
          <w:sz w:val="32"/>
          <w:szCs w:val="32"/>
          <w:highlight w:val="none"/>
          <w:lang w:val="en-US" w:eastAsia="zh-CN"/>
        </w:rPr>
      </w:pPr>
      <w:bookmarkStart w:id="166" w:name="_Toc14803"/>
      <w:bookmarkStart w:id="167" w:name="_Toc339"/>
      <w:bookmarkStart w:id="168" w:name="_Toc10035"/>
      <w:bookmarkStart w:id="169" w:name="_Toc26885"/>
      <w:r>
        <w:rPr>
          <w:rFonts w:hint="eastAsia" w:ascii="楷体_GB2312" w:hAnsi="楷体" w:eastAsia="楷体_GB2312"/>
          <w:b w:val="0"/>
          <w:bCs/>
          <w:color w:val="auto"/>
          <w:sz w:val="32"/>
          <w:szCs w:val="32"/>
          <w:highlight w:val="none"/>
          <w:lang w:val="en-US" w:eastAsia="zh-CN"/>
        </w:rPr>
        <w:t>（二）理论与实践并重，助力无线电事业发展</w:t>
      </w:r>
      <w:bookmarkEnd w:id="166"/>
      <w:bookmarkEnd w:id="167"/>
      <w:bookmarkEnd w:id="168"/>
      <w:bookmarkEnd w:id="169"/>
    </w:p>
    <w:p>
      <w:pPr>
        <w:adjustRightInd w:val="0"/>
        <w:snapToGrid w:val="0"/>
        <w:spacing w:line="360" w:lineRule="auto"/>
        <w:ind w:firstLine="640" w:firstLineChars="200"/>
        <w:outlineLvl w:val="9"/>
        <w:rPr>
          <w:rFonts w:hint="eastAsia" w:ascii="仿宋_GB2312" w:hAnsi="仿宋_GB2312" w:cs="仿宋_GB2312"/>
          <w:b w:val="0"/>
          <w:bCs w:val="0"/>
          <w:color w:val="auto"/>
          <w:sz w:val="32"/>
          <w:szCs w:val="32"/>
          <w:highlight w:val="none"/>
          <w:lang w:val="en-US" w:eastAsia="zh-CN"/>
        </w:rPr>
      </w:pPr>
      <w:r>
        <w:rPr>
          <w:rFonts w:hint="eastAsia" w:ascii="仿宋_GB2312" w:hAnsi="仿宋_GB2312" w:cs="仿宋_GB2312"/>
          <w:b w:val="0"/>
          <w:bCs w:val="0"/>
          <w:color w:val="auto"/>
          <w:sz w:val="32"/>
          <w:szCs w:val="32"/>
          <w:highlight w:val="none"/>
          <w:lang w:val="en-US" w:eastAsia="zh-CN"/>
        </w:rPr>
        <w:t>在重视无线电监测业务的同时，积极开展课题研究和科研创新活动，及时总结实际业务经验，不断提高理论研究和科研创新水平。2023年，市经信局和监测站完成“无线电助力北京市智慧城市建设调查研究”“无线电干扰排查分析及对策建议”等课题研究，参与研发了集电磁环境测试和监测测向功能于一体的新型监测车，获得2023年中国无线电协会科学技术二等奖，为无线电科学技术水平的提升和发展贡献力量。</w:t>
      </w:r>
    </w:p>
    <w:p>
      <w:pPr>
        <w:numPr>
          <w:ilvl w:val="-1"/>
          <w:numId w:val="0"/>
        </w:numPr>
        <w:adjustRightInd w:val="0"/>
        <w:snapToGrid w:val="0"/>
        <w:spacing w:line="360" w:lineRule="auto"/>
        <w:ind w:firstLine="640" w:firstLineChars="200"/>
        <w:outlineLvl w:val="1"/>
        <w:rPr>
          <w:rFonts w:hint="eastAsia" w:ascii="楷体_GB2312" w:hAnsi="楷体" w:eastAsia="楷体_GB2312" w:cs="Times New Roman"/>
          <w:bCs/>
          <w:color w:val="auto"/>
          <w:sz w:val="32"/>
          <w:szCs w:val="32"/>
          <w:highlight w:val="none"/>
        </w:rPr>
      </w:pPr>
      <w:bookmarkStart w:id="170" w:name="_Toc32108"/>
      <w:bookmarkStart w:id="171" w:name="_Toc15060"/>
      <w:bookmarkStart w:id="172" w:name="_Toc2239"/>
      <w:r>
        <w:rPr>
          <w:rFonts w:hint="eastAsia" w:ascii="楷体_GB2312" w:hAnsi="楷体" w:eastAsia="楷体_GB2312" w:cs="Times New Roman"/>
          <w:bCs/>
          <w:color w:val="auto"/>
          <w:sz w:val="32"/>
          <w:szCs w:val="32"/>
          <w:highlight w:val="none"/>
          <w:lang w:val="en-US" w:eastAsia="zh-CN"/>
        </w:rPr>
        <w:t>（三）加强</w:t>
      </w:r>
      <w:r>
        <w:rPr>
          <w:rFonts w:hint="eastAsia" w:ascii="楷体_GB2312" w:hAnsi="楷体" w:eastAsia="楷体_GB2312" w:cs="Times New Roman"/>
          <w:bCs/>
          <w:color w:val="auto"/>
          <w:sz w:val="32"/>
          <w:szCs w:val="32"/>
          <w:highlight w:val="none"/>
        </w:rPr>
        <w:t>频率台站管理，服务经济社会发展</w:t>
      </w:r>
      <w:bookmarkEnd w:id="170"/>
      <w:bookmarkEnd w:id="171"/>
      <w:bookmarkEnd w:id="172"/>
    </w:p>
    <w:p>
      <w:pPr>
        <w:adjustRightInd w:val="0"/>
        <w:snapToGrid w:val="0"/>
        <w:spacing w:line="360" w:lineRule="auto"/>
        <w:ind w:firstLine="643" w:firstLineChars="200"/>
        <w:outlineLvl w:val="9"/>
        <w:rPr>
          <w:rFonts w:hint="eastAsia" w:ascii="仿宋_GB2312" w:hAnsi="仿宋_GB2312" w:cs="仿宋_GB2312"/>
          <w:bCs w:val="0"/>
          <w:color w:val="auto"/>
          <w:sz w:val="32"/>
          <w:szCs w:val="32"/>
          <w:highlight w:val="none"/>
          <w:lang w:val="en-US" w:eastAsia="zh-CN"/>
        </w:rPr>
      </w:pPr>
      <w:r>
        <w:rPr>
          <w:rFonts w:hint="eastAsia" w:ascii="仿宋_GB2312" w:hAnsi="仿宋_GB2312" w:cs="仿宋_GB2312"/>
          <w:b/>
          <w:bCs/>
          <w:color w:val="auto"/>
          <w:sz w:val="32"/>
          <w:szCs w:val="32"/>
          <w:highlight w:val="none"/>
          <w:lang w:val="en-US" w:eastAsia="zh-CN"/>
        </w:rPr>
        <w:t>一是</w:t>
      </w:r>
      <w:r>
        <w:rPr>
          <w:rFonts w:hint="eastAsia" w:ascii="仿宋_GB2312" w:hAnsi="仿宋_GB2312" w:eastAsia="仿宋_GB2312" w:cs="仿宋_GB2312"/>
          <w:bCs w:val="0"/>
          <w:color w:val="auto"/>
          <w:sz w:val="32"/>
          <w:szCs w:val="32"/>
          <w:highlight w:val="none"/>
          <w:lang w:val="en-US" w:eastAsia="zh-CN"/>
        </w:rPr>
        <w:t>市经信局对无线电行政许可申请材料、审核要点、办事流程、承诺时限、事项办理结果等内容进行全面标准化</w:t>
      </w:r>
      <w:r>
        <w:rPr>
          <w:rFonts w:hint="eastAsia" w:ascii="仿宋_GB2312" w:hAnsi="仿宋_GB2312" w:cs="仿宋_GB2312"/>
          <w:bCs w:val="0"/>
          <w:color w:val="auto"/>
          <w:sz w:val="32"/>
          <w:szCs w:val="32"/>
          <w:highlight w:val="none"/>
          <w:lang w:val="en-US" w:eastAsia="zh-CN"/>
        </w:rPr>
        <w:t>，实现无线电频率台站行政许可“一网通办”和无线电证照电子化，丰富了地面无线电业务频率使用许可和无线电台（站）许可的申请方式，为企业和办事群众提供了便利。</w:t>
      </w:r>
    </w:p>
    <w:p>
      <w:pPr>
        <w:adjustRightInd w:val="0"/>
        <w:snapToGrid w:val="0"/>
        <w:spacing w:line="360" w:lineRule="auto"/>
        <w:ind w:firstLine="643" w:firstLineChars="200"/>
        <w:outlineLvl w:val="9"/>
        <w:rPr>
          <w:rFonts w:hint="default" w:ascii="仿宋_GB2312" w:hAnsi="仿宋_GB2312" w:cs="仿宋_GB2312"/>
          <w:bCs w:val="0"/>
          <w:color w:val="auto"/>
          <w:sz w:val="32"/>
          <w:szCs w:val="32"/>
          <w:highlight w:val="none"/>
          <w:lang w:val="en-US" w:eastAsia="zh-CN"/>
        </w:rPr>
      </w:pPr>
      <w:r>
        <w:rPr>
          <w:rFonts w:hint="eastAsia" w:ascii="仿宋_GB2312" w:hAnsi="仿宋_GB2312" w:cs="仿宋_GB2312"/>
          <w:b/>
          <w:bCs/>
          <w:color w:val="auto"/>
          <w:sz w:val="32"/>
          <w:szCs w:val="32"/>
          <w:highlight w:val="none"/>
          <w:lang w:val="en-US" w:eastAsia="zh-CN"/>
        </w:rPr>
        <w:t>二是</w:t>
      </w:r>
      <w:r>
        <w:rPr>
          <w:rFonts w:hint="eastAsia" w:ascii="仿宋_GB2312" w:hAnsi="仿宋_GB2312" w:cs="仿宋_GB2312"/>
          <w:bCs w:val="0"/>
          <w:color w:val="auto"/>
          <w:sz w:val="32"/>
          <w:szCs w:val="32"/>
          <w:highlight w:val="none"/>
          <w:lang w:val="en-US" w:eastAsia="zh-CN"/>
        </w:rPr>
        <w:t>市经信局多次组织移动通信运营企业和技术支撑单位召开工作推进会，指导数据填报，优化系统功能，及时完成了北京市四家公众移动通信运营商近25万座基站设台许可工作，大幅提升了申报的便利性、及时性和准确性，加强了公众移动通信基站管理，切实减轻了企业申报负担。</w:t>
      </w:r>
    </w:p>
    <w:p>
      <w:pPr>
        <w:numPr>
          <w:ilvl w:val="-1"/>
          <w:numId w:val="0"/>
        </w:numPr>
        <w:adjustRightInd w:val="0"/>
        <w:snapToGrid w:val="0"/>
        <w:spacing w:line="360" w:lineRule="auto"/>
        <w:ind w:firstLine="640" w:firstLineChars="200"/>
        <w:outlineLvl w:val="1"/>
        <w:rPr>
          <w:rFonts w:hint="eastAsia" w:ascii="楷体_GB2312" w:hAnsi="楷体" w:eastAsia="楷体_GB2312" w:cs="Times New Roman"/>
          <w:b w:val="0"/>
          <w:bCs/>
          <w:color w:val="auto"/>
          <w:sz w:val="32"/>
          <w:szCs w:val="32"/>
          <w:highlight w:val="none"/>
          <w:lang w:val="en-US" w:eastAsia="zh-CN"/>
        </w:rPr>
      </w:pPr>
      <w:bookmarkStart w:id="173" w:name="_Toc6405"/>
      <w:bookmarkStart w:id="174" w:name="_Toc24976"/>
      <w:bookmarkStart w:id="175" w:name="_Toc17312"/>
      <w:r>
        <w:rPr>
          <w:rFonts w:hint="eastAsia" w:ascii="楷体_GB2312" w:hAnsi="楷体" w:eastAsia="楷体_GB2312" w:cs="Times New Roman"/>
          <w:b w:val="0"/>
          <w:bCs/>
          <w:color w:val="auto"/>
          <w:sz w:val="32"/>
          <w:szCs w:val="32"/>
          <w:highlight w:val="none"/>
          <w:lang w:val="en-US" w:eastAsia="zh-CN"/>
        </w:rPr>
        <w:t>（四）修订完善法律法规，推动无线电管理法治建设</w:t>
      </w:r>
      <w:bookmarkEnd w:id="173"/>
      <w:bookmarkEnd w:id="174"/>
      <w:bookmarkEnd w:id="175"/>
    </w:p>
    <w:p>
      <w:pPr>
        <w:adjustRightInd w:val="0"/>
        <w:snapToGrid w:val="0"/>
        <w:spacing w:line="360" w:lineRule="auto"/>
        <w:ind w:firstLine="640" w:firstLineChars="200"/>
        <w:outlineLvl w:val="9"/>
        <w:rPr>
          <w:rFonts w:hint="default" w:ascii="仿宋_GB2312" w:hAnsi="仿宋_GB2312" w:cs="仿宋_GB2312"/>
          <w:b w:val="0"/>
          <w:bCs w:val="0"/>
          <w:color w:val="auto"/>
          <w:sz w:val="32"/>
          <w:szCs w:val="32"/>
          <w:highlight w:val="none"/>
          <w:lang w:val="en-US" w:eastAsia="zh-CN"/>
        </w:rPr>
      </w:pPr>
      <w:r>
        <w:rPr>
          <w:rFonts w:hint="eastAsia" w:ascii="仿宋_GB2312" w:hAnsi="仿宋_GB2312" w:cs="仿宋_GB2312"/>
          <w:b w:val="0"/>
          <w:bCs w:val="0"/>
          <w:color w:val="auto"/>
          <w:sz w:val="32"/>
          <w:szCs w:val="32"/>
          <w:highlight w:val="none"/>
          <w:lang w:val="en-US" w:eastAsia="zh-CN"/>
        </w:rPr>
        <w:t>市经信局积极推动《北京市无线电管理办法》的修订工作，联合市司法局广泛开展立法调研，通过走访浙江经信厅、上海经信委和阿里巴巴集团等无线电设备销售企业、中国商用飞机有限公司等无线电业务应用企业，深入了解企业需求，撰写了《关于修订〈北京市无线电管理办法〉的立法建议》，推动了无线电管理的法治建设进程。</w:t>
      </w:r>
    </w:p>
    <w:p>
      <w:pPr>
        <w:adjustRightInd w:val="0"/>
        <w:snapToGrid w:val="0"/>
        <w:spacing w:line="360" w:lineRule="auto"/>
        <w:ind w:firstLine="640" w:firstLineChars="200"/>
        <w:outlineLvl w:val="0"/>
        <w:rPr>
          <w:rFonts w:hint="eastAsia" w:ascii="黑体" w:hAnsi="黑体" w:eastAsia="黑体"/>
          <w:bCs/>
          <w:color w:val="auto"/>
          <w:sz w:val="32"/>
          <w:szCs w:val="32"/>
          <w:highlight w:val="none"/>
          <w:lang w:eastAsia="zh-CN"/>
        </w:rPr>
      </w:pPr>
      <w:bookmarkStart w:id="176" w:name="_Toc15806"/>
      <w:bookmarkStart w:id="177" w:name="_Toc29051"/>
      <w:bookmarkStart w:id="178" w:name="_Toc10669"/>
      <w:bookmarkStart w:id="179" w:name="_Toc55475202"/>
      <w:bookmarkStart w:id="180" w:name="_Toc32500"/>
      <w:r>
        <w:rPr>
          <w:rFonts w:hint="eastAsia" w:ascii="黑体" w:hAnsi="黑体" w:eastAsia="黑体"/>
          <w:bCs/>
          <w:color w:val="auto"/>
          <w:sz w:val="32"/>
          <w:szCs w:val="32"/>
          <w:highlight w:val="none"/>
        </w:rPr>
        <w:t>六、存在问题和原因分析</w:t>
      </w:r>
      <w:bookmarkEnd w:id="176"/>
      <w:bookmarkEnd w:id="177"/>
      <w:bookmarkEnd w:id="178"/>
    </w:p>
    <w:p>
      <w:pPr>
        <w:adjustRightInd w:val="0"/>
        <w:snapToGrid w:val="0"/>
        <w:spacing w:line="360" w:lineRule="auto"/>
        <w:ind w:firstLine="640" w:firstLineChars="200"/>
        <w:outlineLvl w:val="1"/>
        <w:rPr>
          <w:rFonts w:hint="default" w:ascii="楷体_GB2312" w:hAnsi="楷体" w:eastAsia="仿宋_GB2312"/>
          <w:bCs/>
          <w:color w:val="auto"/>
          <w:sz w:val="32"/>
          <w:szCs w:val="32"/>
          <w:highlight w:val="none"/>
          <w:lang w:val="en-US" w:eastAsia="zh-CN"/>
        </w:rPr>
      </w:pPr>
      <w:bookmarkStart w:id="181" w:name="_Toc14556"/>
      <w:bookmarkStart w:id="182" w:name="_Toc9296"/>
      <w:bookmarkStart w:id="183" w:name="_Toc2821"/>
      <w:r>
        <w:rPr>
          <w:rFonts w:hint="eastAsia" w:ascii="楷体_GB2312" w:hAnsi="楷体" w:eastAsia="楷体_GB2312"/>
          <w:bCs/>
          <w:color w:val="auto"/>
          <w:sz w:val="32"/>
          <w:szCs w:val="32"/>
          <w:highlight w:val="none"/>
        </w:rPr>
        <w:t>（一）</w:t>
      </w:r>
      <w:r>
        <w:rPr>
          <w:rFonts w:hint="eastAsia" w:ascii="楷体_GB2312" w:hAnsi="楷体" w:eastAsia="楷体_GB2312"/>
          <w:bCs/>
          <w:color w:val="auto"/>
          <w:sz w:val="32"/>
          <w:szCs w:val="32"/>
          <w:highlight w:val="none"/>
          <w:lang w:val="en-US" w:eastAsia="zh-CN"/>
        </w:rPr>
        <w:t>区域绩效目标编制</w:t>
      </w:r>
      <w:bookmarkEnd w:id="181"/>
      <w:r>
        <w:rPr>
          <w:rFonts w:hint="eastAsia" w:ascii="楷体_GB2312" w:hAnsi="楷体" w:eastAsia="楷体_GB2312"/>
          <w:bCs/>
          <w:color w:val="auto"/>
          <w:sz w:val="32"/>
          <w:szCs w:val="32"/>
          <w:highlight w:val="none"/>
          <w:lang w:val="en-US" w:eastAsia="zh-CN"/>
        </w:rPr>
        <w:t>还不够规范</w:t>
      </w:r>
      <w:r>
        <w:rPr>
          <w:rFonts w:hint="eastAsia" w:ascii="楷体_GB2312" w:hAnsi="楷体" w:eastAsia="楷体_GB2312"/>
          <w:bCs/>
          <w:color w:val="auto"/>
          <w:sz w:val="32"/>
          <w:szCs w:val="32"/>
          <w:highlight w:val="none"/>
          <w:lang w:eastAsia="zh-CN"/>
        </w:rPr>
        <w:t>，</w:t>
      </w:r>
      <w:r>
        <w:rPr>
          <w:rFonts w:hint="eastAsia" w:ascii="楷体_GB2312" w:hAnsi="楷体" w:eastAsia="楷体_GB2312"/>
          <w:bCs/>
          <w:color w:val="auto"/>
          <w:sz w:val="32"/>
          <w:szCs w:val="32"/>
          <w:highlight w:val="none"/>
          <w:lang w:val="en-US" w:eastAsia="zh-CN"/>
        </w:rPr>
        <w:t>绩效指标设置</w:t>
      </w:r>
      <w:r>
        <w:rPr>
          <w:rFonts w:hint="eastAsia" w:ascii="楷体_GB2312" w:hAnsi="楷体" w:eastAsia="楷体_GB2312" w:cs="Times New Roman"/>
          <w:bCs/>
          <w:color w:val="auto"/>
          <w:sz w:val="32"/>
          <w:szCs w:val="32"/>
          <w:highlight w:val="none"/>
          <w:lang w:val="en-US" w:eastAsia="zh-CN"/>
        </w:rPr>
        <w:t>还需提炼</w:t>
      </w:r>
      <w:bookmarkEnd w:id="182"/>
      <w:bookmarkEnd w:id="183"/>
    </w:p>
    <w:p>
      <w:pPr>
        <w:adjustRightInd w:val="0"/>
        <w:snapToGrid w:val="0"/>
        <w:spacing w:line="360" w:lineRule="auto"/>
        <w:ind w:firstLine="643" w:firstLineChars="200"/>
        <w:outlineLvl w:val="9"/>
        <w:rPr>
          <w:rFonts w:hint="eastAsia" w:ascii="仿宋_GB2312" w:hAnsi="仿宋_GB2312" w:cs="仿宋_GB2312"/>
          <w:color w:val="auto"/>
          <w:sz w:val="32"/>
          <w:szCs w:val="32"/>
          <w:highlight w:val="none"/>
          <w:lang w:val="en-US" w:eastAsia="zh-CN"/>
        </w:rPr>
      </w:pPr>
      <w:r>
        <w:rPr>
          <w:rFonts w:hint="eastAsia" w:ascii="仿宋_GB2312" w:hAnsi="仿宋_GB2312" w:cs="仿宋_GB2312"/>
          <w:b/>
          <w:bCs/>
          <w:color w:val="auto"/>
          <w:sz w:val="32"/>
          <w:szCs w:val="32"/>
          <w:highlight w:val="none"/>
          <w:lang w:val="en-US" w:eastAsia="zh-CN"/>
        </w:rPr>
        <w:t>一是</w:t>
      </w:r>
      <w:r>
        <w:rPr>
          <w:rFonts w:hint="eastAsia" w:ascii="仿宋_GB2312" w:hAnsi="仿宋_GB2312" w:cs="仿宋_GB2312"/>
          <w:color w:val="auto"/>
          <w:sz w:val="32"/>
          <w:szCs w:val="32"/>
          <w:highlight w:val="none"/>
        </w:rPr>
        <w:t>市经信局</w:t>
      </w:r>
      <w:r>
        <w:rPr>
          <w:rFonts w:hint="eastAsia" w:ascii="仿宋_GB2312" w:hAnsi="仿宋_GB2312" w:cs="仿宋_GB2312"/>
          <w:color w:val="auto"/>
          <w:sz w:val="32"/>
          <w:szCs w:val="32"/>
          <w:highlight w:val="none"/>
          <w:lang w:val="en-US" w:eastAsia="zh-CN"/>
        </w:rPr>
        <w:t>结合项目内容编制了</w:t>
      </w:r>
      <w:r>
        <w:rPr>
          <w:rFonts w:hint="eastAsia" w:ascii="仿宋_GB2312" w:hAnsi="仿宋_GB2312" w:cs="仿宋_GB2312"/>
          <w:color w:val="auto"/>
          <w:sz w:val="32"/>
          <w:szCs w:val="32"/>
          <w:highlight w:val="none"/>
          <w:lang w:val="en-US" w:eastAsia="zh"/>
        </w:rPr>
        <w:t>《2023年频占费资金绩效目标表</w:t>
      </w:r>
      <w:r>
        <w:rPr>
          <w:rFonts w:hint="eastAsia" w:ascii="仿宋_GB2312" w:hAnsi="仿宋_GB2312" w:cs="仿宋_GB2312"/>
          <w:color w:val="auto"/>
          <w:sz w:val="32"/>
          <w:szCs w:val="32"/>
          <w:highlight w:val="none"/>
          <w:lang w:val="en-US" w:eastAsia="zh-CN"/>
        </w:rPr>
        <w:t>》《</w:t>
      </w:r>
      <w:r>
        <w:rPr>
          <w:rFonts w:hint="eastAsia" w:ascii="仿宋_GB2312" w:hAnsi="仿宋_GB2312" w:cs="仿宋_GB2312"/>
          <w:color w:val="auto"/>
          <w:sz w:val="32"/>
          <w:szCs w:val="32"/>
          <w:highlight w:val="none"/>
          <w:lang w:val="en-US" w:eastAsia="zh"/>
        </w:rPr>
        <w:t>北京市2023年无线电发射设备型号核准资金绩效目标表》</w:t>
      </w:r>
      <w:r>
        <w:rPr>
          <w:rFonts w:hint="eastAsia" w:ascii="仿宋_GB2312" w:hAnsi="仿宋_GB2312" w:cs="仿宋_GB2312"/>
          <w:color w:val="auto"/>
          <w:sz w:val="32"/>
          <w:szCs w:val="32"/>
          <w:highlight w:val="none"/>
          <w:lang w:val="en-US" w:eastAsia="zh-CN"/>
        </w:rPr>
        <w:t>和各子项目绩效目标</w:t>
      </w:r>
      <w:r>
        <w:rPr>
          <w:rFonts w:hint="eastAsia" w:ascii="仿宋_GB2312" w:hAnsi="仿宋_GB2312" w:cs="仿宋_GB2312"/>
          <w:color w:val="auto"/>
          <w:sz w:val="32"/>
          <w:szCs w:val="32"/>
          <w:highlight w:val="none"/>
        </w:rPr>
        <w:t>表</w:t>
      </w:r>
      <w:r>
        <w:rPr>
          <w:rFonts w:hint="eastAsia" w:ascii="仿宋_GB2312" w:hAnsi="仿宋_GB2312" w:cs="仿宋_GB2312"/>
          <w:color w:val="auto"/>
          <w:sz w:val="32"/>
          <w:szCs w:val="32"/>
          <w:highlight w:val="none"/>
          <w:lang w:eastAsia="zh"/>
        </w:rPr>
        <w:t>，</w:t>
      </w:r>
      <w:r>
        <w:rPr>
          <w:rFonts w:hint="eastAsia" w:ascii="仿宋_GB2312" w:hAnsi="仿宋_GB2312" w:cs="仿宋_GB2312"/>
          <w:color w:val="auto"/>
          <w:sz w:val="32"/>
          <w:szCs w:val="32"/>
          <w:highlight w:val="none"/>
          <w:lang w:val="en-US" w:eastAsia="zh-CN"/>
        </w:rPr>
        <w:t>但未能结合项目内容，编制一份符合北京地区的</w:t>
      </w:r>
      <w:r>
        <w:rPr>
          <w:rFonts w:hint="eastAsia" w:ascii="仿宋_GB2312" w:hAnsi="仿宋_GB2312" w:cs="仿宋_GB2312"/>
          <w:color w:val="auto"/>
          <w:sz w:val="32"/>
          <w:szCs w:val="32"/>
          <w:highlight w:val="none"/>
          <w:lang w:eastAsia="zh"/>
        </w:rPr>
        <w:t>区域绩效目标表，</w:t>
      </w:r>
      <w:r>
        <w:rPr>
          <w:rFonts w:hint="eastAsia" w:ascii="仿宋_GB2312" w:hAnsi="仿宋_GB2312" w:cs="仿宋_GB2312"/>
          <w:color w:val="auto"/>
          <w:sz w:val="32"/>
          <w:szCs w:val="32"/>
          <w:highlight w:val="none"/>
          <w:lang w:val="en-US" w:eastAsia="zh-CN"/>
        </w:rPr>
        <w:t>难以</w:t>
      </w:r>
      <w:r>
        <w:rPr>
          <w:rFonts w:hint="eastAsia" w:ascii="仿宋_GB2312" w:hAnsi="仿宋_GB2312" w:cs="仿宋_GB2312"/>
          <w:color w:val="auto"/>
          <w:sz w:val="32"/>
          <w:szCs w:val="32"/>
          <w:highlight w:val="none"/>
        </w:rPr>
        <w:t>全面反映</w:t>
      </w:r>
      <w:r>
        <w:rPr>
          <w:rFonts w:hint="eastAsia" w:ascii="仿宋_GB2312" w:hAnsi="仿宋_GB2312" w:cs="仿宋_GB2312"/>
          <w:color w:val="auto"/>
          <w:sz w:val="32"/>
          <w:szCs w:val="32"/>
          <w:highlight w:val="none"/>
          <w:lang w:val="en-US" w:eastAsia="zh-CN"/>
        </w:rPr>
        <w:t>北京地区</w:t>
      </w:r>
      <w:r>
        <w:rPr>
          <w:rFonts w:hint="eastAsia" w:ascii="仿宋_GB2312" w:hAnsi="仿宋_GB2312" w:cs="仿宋_GB2312"/>
          <w:color w:val="auto"/>
          <w:sz w:val="32"/>
          <w:szCs w:val="32"/>
          <w:highlight w:val="none"/>
        </w:rPr>
        <w:t>项目工作及相关绩效情况</w:t>
      </w:r>
      <w:r>
        <w:rPr>
          <w:rFonts w:hint="eastAsia" w:ascii="仿宋_GB2312" w:hAnsi="仿宋_GB2312" w:cs="仿宋_GB2312"/>
          <w:color w:val="auto"/>
          <w:sz w:val="32"/>
          <w:szCs w:val="32"/>
          <w:highlight w:val="none"/>
          <w:lang w:eastAsia="zh"/>
        </w:rPr>
        <w:t>；</w:t>
      </w:r>
      <w:r>
        <w:rPr>
          <w:rFonts w:hint="eastAsia" w:ascii="仿宋_GB2312" w:hAnsi="仿宋_GB2312" w:cs="仿宋_GB2312"/>
          <w:b/>
          <w:bCs/>
          <w:color w:val="auto"/>
          <w:sz w:val="32"/>
          <w:szCs w:val="32"/>
          <w:highlight w:val="none"/>
          <w:lang w:eastAsia="zh"/>
        </w:rPr>
        <w:t>二是</w:t>
      </w:r>
      <w:r>
        <w:rPr>
          <w:rFonts w:hint="eastAsia" w:ascii="仿宋_GB2312" w:hAnsi="仿宋_GB2312" w:cs="仿宋_GB2312"/>
          <w:color w:val="auto"/>
          <w:sz w:val="32"/>
          <w:szCs w:val="32"/>
          <w:highlight w:val="none"/>
          <w:lang w:val="en-US" w:eastAsia="zh-CN"/>
        </w:rPr>
        <w:t>区域绩效目标表中的绩效指标设置提炼程度不足，绩效指标设置的条数较多，未能结合工作内容特点和指标情况予以提炼，如产出数量指标中“印制新版无线电台执照（卫星地球站）2000张”，“印制新版无线电台执照（地面无线电业务）10000张”，“印制无线电台执照（业余无线电业务）20000本”等3条指标，其指标内容均为无线电台执照。</w:t>
      </w:r>
    </w:p>
    <w:p>
      <w:pPr>
        <w:adjustRightInd w:val="0"/>
        <w:snapToGrid w:val="0"/>
        <w:spacing w:line="360" w:lineRule="auto"/>
        <w:ind w:firstLine="640" w:firstLineChars="200"/>
        <w:outlineLvl w:val="1"/>
        <w:rPr>
          <w:rFonts w:hint="default" w:ascii="楷体_GB2312" w:hAnsi="楷体" w:eastAsia="楷体_GB2312"/>
          <w:bCs/>
          <w:color w:val="auto"/>
          <w:sz w:val="32"/>
          <w:szCs w:val="32"/>
          <w:highlight w:val="none"/>
          <w:lang w:val="en-US" w:eastAsia="zh-CN"/>
        </w:rPr>
      </w:pPr>
      <w:bookmarkStart w:id="184" w:name="_Toc30510"/>
      <w:bookmarkStart w:id="185" w:name="_Toc10132"/>
      <w:bookmarkStart w:id="186" w:name="_Toc31371"/>
      <w:r>
        <w:rPr>
          <w:rFonts w:hint="eastAsia" w:ascii="楷体_GB2312" w:hAnsi="楷体" w:eastAsia="楷体_GB2312"/>
          <w:bCs/>
          <w:color w:val="auto"/>
          <w:sz w:val="32"/>
          <w:szCs w:val="32"/>
          <w:highlight w:val="none"/>
        </w:rPr>
        <w:t>（</w:t>
      </w:r>
      <w:r>
        <w:rPr>
          <w:rFonts w:hint="eastAsia" w:ascii="楷体_GB2312" w:hAnsi="楷体" w:eastAsia="楷体_GB2312"/>
          <w:bCs/>
          <w:color w:val="auto"/>
          <w:sz w:val="32"/>
          <w:szCs w:val="32"/>
          <w:highlight w:val="none"/>
          <w:lang w:val="en-US" w:eastAsia="zh-CN"/>
        </w:rPr>
        <w:t>二</w:t>
      </w:r>
      <w:r>
        <w:rPr>
          <w:rFonts w:hint="eastAsia" w:ascii="楷体_GB2312" w:hAnsi="楷体" w:eastAsia="楷体_GB2312"/>
          <w:bCs/>
          <w:color w:val="auto"/>
          <w:sz w:val="32"/>
          <w:szCs w:val="32"/>
          <w:highlight w:val="none"/>
        </w:rPr>
        <w:t>）</w:t>
      </w:r>
      <w:bookmarkEnd w:id="184"/>
      <w:r>
        <w:rPr>
          <w:rFonts w:hint="eastAsia" w:ascii="楷体_GB2312" w:hAnsi="楷体" w:eastAsia="楷体_GB2312"/>
          <w:bCs/>
          <w:color w:val="auto"/>
          <w:sz w:val="32"/>
          <w:szCs w:val="32"/>
          <w:highlight w:val="none"/>
          <w:lang w:val="en-US" w:eastAsia="zh-CN"/>
        </w:rPr>
        <w:t>个别项目预算编制不够细化，</w:t>
      </w:r>
      <w:bookmarkEnd w:id="185"/>
      <w:r>
        <w:rPr>
          <w:rFonts w:hint="eastAsia" w:ascii="楷体_GB2312" w:hAnsi="楷体" w:eastAsia="楷体_GB2312"/>
          <w:bCs/>
          <w:color w:val="auto"/>
          <w:sz w:val="32"/>
          <w:szCs w:val="32"/>
          <w:highlight w:val="none"/>
          <w:lang w:val="en-US" w:eastAsia="zh-CN"/>
        </w:rPr>
        <w:t>影响资金分配合理性</w:t>
      </w:r>
      <w:bookmarkEnd w:id="186"/>
    </w:p>
    <w:p>
      <w:pPr>
        <w:adjustRightInd w:val="0"/>
        <w:snapToGrid w:val="0"/>
        <w:spacing w:line="360" w:lineRule="auto"/>
        <w:ind w:firstLine="640" w:firstLineChars="200"/>
        <w:rPr>
          <w:rFonts w:hint="eastAsia" w:ascii="仿宋_GB2312" w:hAnsi="仿宋"/>
          <w:color w:val="auto"/>
          <w:sz w:val="32"/>
          <w:szCs w:val="32"/>
          <w:highlight w:val="none"/>
          <w:lang w:val="en-US" w:eastAsia="zh-CN"/>
        </w:rPr>
      </w:pPr>
      <w:r>
        <w:rPr>
          <w:rFonts w:hint="eastAsia" w:ascii="仿宋_GB2312" w:hAnsi="Calibri"/>
          <w:color w:val="auto"/>
          <w:sz w:val="32"/>
          <w:szCs w:val="32"/>
          <w:highlight w:val="none"/>
          <w:lang w:val="en-US" w:eastAsia="zh-CN"/>
        </w:rPr>
        <w:t>个别项目预算编制还不够细化，一定程度影响了资金分配结果的合理性。如频谱资源动态分析与决策支撑项目申报监理费为12万元，其预算测算依据及说明为“</w:t>
      </w:r>
      <w:r>
        <w:rPr>
          <w:rFonts w:hint="eastAsia" w:ascii="仿宋_GB2312" w:hAnsi="Calibri"/>
          <w:color w:val="auto"/>
          <w:sz w:val="32"/>
          <w:szCs w:val="32"/>
          <w:highlight w:val="none"/>
          <w:lang w:val="en-US" w:eastAsia="zh"/>
        </w:rPr>
        <w:t>含施工设计、方案设计、监理、决算审计、项目管理费等</w:t>
      </w:r>
      <w:r>
        <w:rPr>
          <w:rFonts w:hint="eastAsia" w:ascii="仿宋_GB2312" w:hAnsi="Calibri"/>
          <w:color w:val="auto"/>
          <w:sz w:val="32"/>
          <w:szCs w:val="32"/>
          <w:highlight w:val="none"/>
          <w:lang w:val="en-US" w:eastAsia="zh-CN"/>
        </w:rPr>
        <w:t>”，缺少包含实施监理所需的人工价格和所需时长等测算过程；又如</w:t>
      </w:r>
      <w:r>
        <w:rPr>
          <w:rFonts w:hint="eastAsia" w:ascii="仿宋_GB2312" w:hAnsi="Calibri"/>
          <w:color w:val="auto"/>
          <w:sz w:val="32"/>
          <w:szCs w:val="32"/>
          <w:highlight w:val="none"/>
          <w:lang w:val="en-US" w:eastAsia="zh"/>
        </w:rPr>
        <w:t>监测网设施设备维修维护费项目</w:t>
      </w:r>
      <w:r>
        <w:rPr>
          <w:rFonts w:hint="eastAsia" w:ascii="仿宋_GB2312" w:hAnsi="Calibri"/>
          <w:color w:val="auto"/>
          <w:sz w:val="32"/>
          <w:szCs w:val="32"/>
          <w:highlight w:val="none"/>
          <w:lang w:val="en-US" w:eastAsia="zh-CN"/>
        </w:rPr>
        <w:t>申报预算为128.9万元（截至2023年底，当年项目资金未支出），未能充分结合项目上年结转资金和年度所需经费规模合理编制项目预算，影响了资金分配结果合理性。</w:t>
      </w:r>
    </w:p>
    <w:p>
      <w:pPr>
        <w:adjustRightInd w:val="0"/>
        <w:snapToGrid w:val="0"/>
        <w:spacing w:line="360" w:lineRule="auto"/>
        <w:ind w:firstLine="640" w:firstLineChars="200"/>
        <w:outlineLvl w:val="1"/>
        <w:rPr>
          <w:rFonts w:hint="default" w:ascii="楷体_GB2312" w:hAnsi="楷体" w:eastAsia="楷体_GB2312"/>
          <w:bCs/>
          <w:color w:val="auto"/>
          <w:sz w:val="32"/>
          <w:szCs w:val="32"/>
          <w:highlight w:val="none"/>
          <w:lang w:val="en-US" w:eastAsia="zh-CN"/>
        </w:rPr>
      </w:pPr>
      <w:bookmarkStart w:id="187" w:name="_Toc32760"/>
      <w:bookmarkStart w:id="188" w:name="_Toc24721"/>
      <w:bookmarkStart w:id="189" w:name="_Toc20811"/>
      <w:r>
        <w:rPr>
          <w:rFonts w:hint="eastAsia" w:ascii="楷体_GB2312" w:hAnsi="楷体" w:eastAsia="楷体_GB2312"/>
          <w:bCs/>
          <w:color w:val="auto"/>
          <w:sz w:val="32"/>
          <w:szCs w:val="32"/>
          <w:highlight w:val="none"/>
        </w:rPr>
        <w:t>（</w:t>
      </w:r>
      <w:r>
        <w:rPr>
          <w:rFonts w:hint="eastAsia" w:ascii="楷体_GB2312" w:hAnsi="楷体" w:eastAsia="楷体_GB2312"/>
          <w:bCs/>
          <w:color w:val="auto"/>
          <w:sz w:val="32"/>
          <w:szCs w:val="32"/>
          <w:highlight w:val="none"/>
          <w:lang w:val="en-US" w:eastAsia="zh-CN"/>
        </w:rPr>
        <w:t>三</w:t>
      </w:r>
      <w:r>
        <w:rPr>
          <w:rFonts w:hint="eastAsia" w:ascii="楷体_GB2312" w:hAnsi="楷体" w:eastAsia="楷体_GB2312"/>
          <w:bCs/>
          <w:color w:val="auto"/>
          <w:sz w:val="32"/>
          <w:szCs w:val="32"/>
          <w:highlight w:val="none"/>
        </w:rPr>
        <w:t>）</w:t>
      </w:r>
      <w:r>
        <w:rPr>
          <w:rFonts w:hint="eastAsia" w:ascii="楷体_GB2312" w:hAnsi="楷体" w:eastAsia="楷体_GB2312"/>
          <w:bCs/>
          <w:color w:val="auto"/>
          <w:sz w:val="32"/>
          <w:szCs w:val="32"/>
          <w:highlight w:val="none"/>
          <w:lang w:val="en-US" w:eastAsia="zh-CN"/>
        </w:rPr>
        <w:t>预算执行率偏低，过程管理有待加强</w:t>
      </w:r>
      <w:bookmarkEnd w:id="187"/>
      <w:bookmarkEnd w:id="188"/>
      <w:bookmarkEnd w:id="189"/>
    </w:p>
    <w:p>
      <w:pPr>
        <w:adjustRightInd w:val="0"/>
        <w:snapToGrid w:val="0"/>
        <w:spacing w:line="360" w:lineRule="auto"/>
        <w:ind w:firstLine="643" w:firstLineChars="200"/>
        <w:outlineLvl w:val="9"/>
        <w:rPr>
          <w:rFonts w:hint="eastAsia" w:ascii="仿宋_GB2312" w:hAnsi="仿宋" w:eastAsia="仿宋_GB2312"/>
          <w:bCs w:val="0"/>
          <w:color w:val="auto"/>
          <w:sz w:val="32"/>
          <w:szCs w:val="32"/>
          <w:highlight w:val="none"/>
        </w:rPr>
      </w:pPr>
      <w:r>
        <w:rPr>
          <w:rFonts w:hint="eastAsia" w:ascii="仿宋_GB2312" w:hAnsi="仿宋"/>
          <w:b/>
          <w:bCs/>
          <w:color w:val="auto"/>
          <w:sz w:val="32"/>
          <w:szCs w:val="32"/>
          <w:highlight w:val="none"/>
          <w:lang w:val="en-US" w:eastAsia="zh-CN"/>
        </w:rPr>
        <w:t>一是</w:t>
      </w:r>
      <w:r>
        <w:rPr>
          <w:rFonts w:hint="eastAsia" w:ascii="仿宋_GB2312" w:hAnsi="仿宋"/>
          <w:b w:val="0"/>
          <w:bCs w:val="0"/>
          <w:color w:val="auto"/>
          <w:sz w:val="32"/>
          <w:szCs w:val="32"/>
          <w:highlight w:val="none"/>
          <w:lang w:val="en-US" w:eastAsia="zh-CN"/>
        </w:rPr>
        <w:t>当年项目预算执行率为</w:t>
      </w:r>
      <w:r>
        <w:rPr>
          <w:rFonts w:hint="eastAsia" w:ascii="仿宋_GB2312"/>
          <w:color w:val="auto"/>
          <w:sz w:val="32"/>
          <w:szCs w:val="32"/>
          <w:highlight w:val="none"/>
          <w:lang w:val="en-US" w:eastAsia="zh-CN"/>
        </w:rPr>
        <w:t>75.03</w:t>
      </w:r>
      <w:r>
        <w:rPr>
          <w:rFonts w:hint="eastAsia" w:ascii="仿宋_GB2312"/>
          <w:color w:val="auto"/>
          <w:sz w:val="32"/>
          <w:szCs w:val="32"/>
          <w:highlight w:val="none"/>
        </w:rPr>
        <w:t>%</w:t>
      </w:r>
      <w:r>
        <w:rPr>
          <w:rFonts w:hint="eastAsia" w:ascii="仿宋_GB2312" w:hAnsi="仿宋"/>
          <w:b w:val="0"/>
          <w:bCs w:val="0"/>
          <w:color w:val="auto"/>
          <w:sz w:val="32"/>
          <w:szCs w:val="32"/>
          <w:highlight w:val="none"/>
          <w:lang w:val="en-US" w:eastAsia="zh-CN"/>
        </w:rPr>
        <w:t>，年度内部分项目使用了上年结转资金，当年项目实际启动时间偏晚，影响了资金执行进度，如监测网设施设备维修维护费项目，年度内相关工作虽正常开展，但实际使用上年结转资金支持，</w:t>
      </w:r>
      <w:r>
        <w:rPr>
          <w:rFonts w:hint="eastAsia" w:ascii="仿宋_GB2312" w:hAnsi="仿宋"/>
          <w:color w:val="auto"/>
          <w:sz w:val="32"/>
          <w:szCs w:val="32"/>
          <w:highlight w:val="none"/>
          <w:lang w:val="en-US" w:eastAsia="zh-CN"/>
        </w:rPr>
        <w:t>2023</w:t>
      </w:r>
      <w:r>
        <w:rPr>
          <w:rFonts w:hint="eastAsia" w:ascii="仿宋_GB2312" w:hAnsi="仿宋"/>
          <w:color w:val="auto"/>
          <w:sz w:val="32"/>
          <w:szCs w:val="32"/>
          <w:highlight w:val="none"/>
        </w:rPr>
        <w:t>年申报的</w:t>
      </w:r>
      <w:r>
        <w:rPr>
          <w:rFonts w:hint="eastAsia" w:ascii="仿宋_GB2312" w:hAnsi="仿宋_GB2312" w:cs="仿宋_GB2312"/>
          <w:color w:val="auto"/>
          <w:sz w:val="32"/>
          <w:szCs w:val="32"/>
          <w:highlight w:val="none"/>
          <w:lang w:val="en-US" w:eastAsia="zh-CN"/>
        </w:rPr>
        <w:t>128.9</w:t>
      </w:r>
      <w:r>
        <w:rPr>
          <w:rFonts w:hint="eastAsia" w:ascii="仿宋_GB2312" w:hAnsi="仿宋_GB2312" w:cs="仿宋_GB2312"/>
          <w:color w:val="auto"/>
          <w:sz w:val="32"/>
          <w:szCs w:val="32"/>
          <w:highlight w:val="none"/>
        </w:rPr>
        <w:t>万元</w:t>
      </w:r>
      <w:r>
        <w:rPr>
          <w:rFonts w:hint="eastAsia" w:ascii="仿宋_GB2312" w:hAnsi="仿宋"/>
          <w:color w:val="auto"/>
          <w:sz w:val="32"/>
          <w:szCs w:val="32"/>
          <w:highlight w:val="none"/>
        </w:rPr>
        <w:t>资金未能支</w:t>
      </w:r>
      <w:r>
        <w:rPr>
          <w:rFonts w:hint="eastAsia" w:ascii="仿宋_GB2312" w:hAnsi="仿宋"/>
          <w:color w:val="auto"/>
          <w:sz w:val="32"/>
          <w:szCs w:val="32"/>
          <w:highlight w:val="none"/>
          <w:lang w:val="en-US" w:eastAsia="zh-CN"/>
        </w:rPr>
        <w:t>出</w:t>
      </w:r>
      <w:r>
        <w:rPr>
          <w:rFonts w:hint="eastAsia" w:ascii="仿宋_GB2312" w:hAnsi="仿宋"/>
          <w:color w:val="auto"/>
          <w:sz w:val="32"/>
          <w:szCs w:val="32"/>
          <w:highlight w:val="none"/>
          <w:lang w:eastAsia="zh-CN"/>
        </w:rPr>
        <w:t>。</w:t>
      </w:r>
      <w:r>
        <w:rPr>
          <w:rFonts w:hint="eastAsia" w:ascii="仿宋_GB2312" w:hAnsi="仿宋"/>
          <w:color w:val="auto"/>
          <w:sz w:val="32"/>
          <w:szCs w:val="32"/>
          <w:highlight w:val="none"/>
          <w:lang w:val="en-US" w:eastAsia="zh-CN"/>
        </w:rPr>
        <w:t>二是个别项目过程管理还不够规范，如频谱资源动态分析与决策支撑项目监理合同签订时间较早，在</w:t>
      </w:r>
      <w:r>
        <w:rPr>
          <w:rFonts w:hint="eastAsia" w:ascii="仿宋_GB2312" w:hAnsi="仿宋_GB2312" w:cs="仿宋_GB2312"/>
          <w:color w:val="auto"/>
          <w:sz w:val="32"/>
          <w:szCs w:val="32"/>
          <w:highlight w:val="none"/>
          <w:lang w:val="en-US" w:eastAsia="zh-CN"/>
        </w:rPr>
        <w:t>具体采购内容尚未确定的情况下，</w:t>
      </w:r>
      <w:r>
        <w:rPr>
          <w:rFonts w:hint="eastAsia"/>
          <w:highlight w:val="none"/>
          <w:lang w:val="en-US" w:eastAsia="zh-CN"/>
        </w:rPr>
        <w:t>监理需开展的</w:t>
      </w:r>
      <w:r>
        <w:rPr>
          <w:rFonts w:hint="eastAsia" w:ascii="仿宋_GB2312" w:hAnsi="仿宋_GB2312" w:cs="仿宋_GB2312"/>
          <w:color w:val="auto"/>
          <w:sz w:val="32"/>
          <w:szCs w:val="32"/>
          <w:highlight w:val="none"/>
          <w:lang w:val="en-US" w:eastAsia="zh-CN"/>
        </w:rPr>
        <w:t>工作内容、要求和实施条件</w:t>
      </w:r>
      <w:r>
        <w:rPr>
          <w:rFonts w:hint="eastAsia"/>
          <w:highlight w:val="none"/>
          <w:lang w:val="en-US" w:eastAsia="zh-CN"/>
        </w:rPr>
        <w:t>与实际可能存在一定偏差，</w:t>
      </w:r>
      <w:r>
        <w:rPr>
          <w:rFonts w:hint="eastAsia" w:ascii="仿宋_GB2312" w:hAnsi="仿宋_GB2312" w:cs="仿宋_GB2312"/>
          <w:color w:val="auto"/>
          <w:sz w:val="32"/>
          <w:szCs w:val="32"/>
          <w:highlight w:val="none"/>
          <w:lang w:val="en-US" w:eastAsia="zh-CN"/>
        </w:rPr>
        <w:t>一方面监</w:t>
      </w:r>
      <w:r>
        <w:rPr>
          <w:rFonts w:hint="eastAsia"/>
          <w:highlight w:val="none"/>
          <w:lang w:val="en-US" w:eastAsia="zh-CN"/>
        </w:rPr>
        <w:t>理合同为固定费用的确定依据不足，另一方面也存在因监理工作要求变化及费用调整等影响合同履行的风险</w:t>
      </w:r>
      <w:r>
        <w:rPr>
          <w:rFonts w:hint="eastAsia" w:ascii="仿宋_GB2312" w:hAnsi="仿宋"/>
          <w:color w:val="auto"/>
          <w:sz w:val="32"/>
          <w:szCs w:val="32"/>
          <w:highlight w:val="none"/>
          <w:lang w:val="en-US" w:eastAsia="zh-CN"/>
        </w:rPr>
        <w:t>；又如固定监测站覆盖能力提升项目，其合同文本中“甲方有权在总额5%的范围内对附件中的‘设备清单’进行追加，乙方应予以配合，追加后的本合同总价变”，实际应为“追加后的本合同总价不变”。</w:t>
      </w:r>
      <w:r>
        <w:rPr>
          <w:rFonts w:hint="eastAsia" w:ascii="仿宋_GB2312" w:hAnsi="仿宋"/>
          <w:b/>
          <w:bCs/>
          <w:color w:val="auto"/>
          <w:sz w:val="32"/>
          <w:szCs w:val="32"/>
          <w:highlight w:val="none"/>
          <w:lang w:val="en-US" w:eastAsia="zh-CN"/>
        </w:rPr>
        <w:t>三是</w:t>
      </w:r>
      <w:r>
        <w:rPr>
          <w:rFonts w:hint="eastAsia" w:ascii="仿宋_GB2312" w:hAnsi="仿宋"/>
          <w:b w:val="0"/>
          <w:bCs w:val="0"/>
          <w:color w:val="auto"/>
          <w:sz w:val="32"/>
          <w:szCs w:val="32"/>
          <w:highlight w:val="none"/>
          <w:lang w:val="en-US" w:eastAsia="zh-CN"/>
        </w:rPr>
        <w:t>个别</w:t>
      </w:r>
      <w:r>
        <w:rPr>
          <w:rFonts w:hint="eastAsia" w:ascii="仿宋_GB2312" w:hAnsi="仿宋_GB2312" w:cs="仿宋_GB2312"/>
          <w:color w:val="auto"/>
          <w:sz w:val="32"/>
          <w:szCs w:val="32"/>
          <w:highlight w:val="none"/>
          <w:lang w:val="en-US" w:eastAsia="zh-CN"/>
        </w:rPr>
        <w:t>项目财务核算不够规范，报销事项列支科目不够严谨</w:t>
      </w:r>
      <w:r>
        <w:rPr>
          <w:rFonts w:hint="eastAsia" w:ascii="仿宋_GB2312"/>
          <w:color w:val="auto"/>
          <w:sz w:val="32"/>
          <w:szCs w:val="32"/>
          <w:highlight w:val="none"/>
          <w:lang w:val="en-US" w:eastAsia="zh-CN"/>
        </w:rPr>
        <w:t>，如无线电监测站无线电干扰查处经费项目中列支了“成都大运会”“赴山西观摩无线电比赛”等差旅费用。</w:t>
      </w:r>
    </w:p>
    <w:p>
      <w:pPr>
        <w:adjustRightInd w:val="0"/>
        <w:snapToGrid w:val="0"/>
        <w:spacing w:line="360" w:lineRule="auto"/>
        <w:ind w:firstLine="640" w:firstLineChars="200"/>
        <w:outlineLvl w:val="0"/>
        <w:rPr>
          <w:rFonts w:ascii="黑体" w:hAnsi="黑体" w:eastAsia="黑体"/>
          <w:bCs/>
          <w:color w:val="auto"/>
          <w:sz w:val="32"/>
          <w:szCs w:val="32"/>
          <w:highlight w:val="none"/>
        </w:rPr>
      </w:pPr>
      <w:bookmarkStart w:id="190" w:name="_Toc9608"/>
      <w:bookmarkStart w:id="191" w:name="_Toc14757"/>
      <w:bookmarkStart w:id="192" w:name="_Toc27406"/>
      <w:r>
        <w:rPr>
          <w:rFonts w:hint="eastAsia" w:ascii="黑体" w:hAnsi="黑体" w:eastAsia="黑体"/>
          <w:bCs/>
          <w:color w:val="auto"/>
          <w:sz w:val="32"/>
          <w:szCs w:val="32"/>
          <w:highlight w:val="none"/>
        </w:rPr>
        <w:t>七、有关建议</w:t>
      </w:r>
      <w:bookmarkEnd w:id="190"/>
      <w:bookmarkEnd w:id="191"/>
      <w:bookmarkEnd w:id="192"/>
    </w:p>
    <w:p>
      <w:pPr>
        <w:adjustRightInd w:val="0"/>
        <w:snapToGrid w:val="0"/>
        <w:spacing w:line="360" w:lineRule="auto"/>
        <w:ind w:firstLine="640" w:firstLineChars="200"/>
        <w:outlineLvl w:val="1"/>
        <w:rPr>
          <w:rFonts w:hint="default" w:ascii="楷体_GB2312" w:hAnsi="楷体" w:eastAsia="楷体_GB2312"/>
          <w:bCs/>
          <w:color w:val="auto"/>
          <w:sz w:val="32"/>
          <w:szCs w:val="32"/>
          <w:highlight w:val="none"/>
          <w:lang w:val="en-US"/>
        </w:rPr>
      </w:pPr>
      <w:bookmarkStart w:id="193" w:name="_Toc15028"/>
      <w:bookmarkStart w:id="194" w:name="_Toc18156"/>
      <w:bookmarkStart w:id="195" w:name="_Toc26820"/>
      <w:r>
        <w:rPr>
          <w:rFonts w:hint="eastAsia" w:ascii="楷体_GB2312" w:hAnsi="楷体" w:eastAsia="楷体_GB2312"/>
          <w:bCs/>
          <w:color w:val="auto"/>
          <w:sz w:val="32"/>
          <w:szCs w:val="32"/>
          <w:highlight w:val="none"/>
        </w:rPr>
        <w:t>（一）</w:t>
      </w:r>
      <w:r>
        <w:rPr>
          <w:rFonts w:hint="eastAsia" w:ascii="楷体_GB2312" w:hAnsi="楷体" w:eastAsia="楷体_GB2312"/>
          <w:bCs/>
          <w:color w:val="auto"/>
          <w:sz w:val="32"/>
          <w:szCs w:val="32"/>
          <w:highlight w:val="none"/>
          <w:lang w:val="en-US" w:eastAsia="zh-CN"/>
        </w:rPr>
        <w:t>规范</w:t>
      </w:r>
      <w:r>
        <w:rPr>
          <w:rFonts w:hint="eastAsia" w:ascii="楷体_GB2312" w:hAnsi="楷体" w:eastAsia="楷体_GB2312"/>
          <w:bCs/>
          <w:color w:val="auto"/>
          <w:sz w:val="32"/>
          <w:szCs w:val="32"/>
          <w:highlight w:val="none"/>
        </w:rPr>
        <w:t>区域绩效目标</w:t>
      </w:r>
      <w:r>
        <w:rPr>
          <w:rFonts w:hint="eastAsia" w:ascii="楷体_GB2312" w:hAnsi="楷体" w:eastAsia="楷体_GB2312"/>
          <w:bCs/>
          <w:color w:val="auto"/>
          <w:sz w:val="32"/>
          <w:szCs w:val="32"/>
          <w:highlight w:val="none"/>
          <w:lang w:val="en-US" w:eastAsia="zh-CN"/>
        </w:rPr>
        <w:t>编制</w:t>
      </w:r>
      <w:r>
        <w:rPr>
          <w:rFonts w:hint="eastAsia" w:ascii="楷体_GB2312" w:hAnsi="楷体" w:eastAsia="楷体_GB2312"/>
          <w:bCs/>
          <w:color w:val="auto"/>
          <w:sz w:val="32"/>
          <w:szCs w:val="32"/>
          <w:highlight w:val="none"/>
          <w:lang w:eastAsia="zh-CN"/>
        </w:rPr>
        <w:t>，</w:t>
      </w:r>
      <w:bookmarkEnd w:id="193"/>
      <w:r>
        <w:rPr>
          <w:rFonts w:hint="eastAsia" w:ascii="楷体_GB2312" w:hAnsi="楷体" w:eastAsia="楷体_GB2312"/>
          <w:bCs/>
          <w:color w:val="auto"/>
          <w:sz w:val="32"/>
          <w:szCs w:val="32"/>
          <w:highlight w:val="none"/>
          <w:lang w:val="en-US" w:eastAsia="zh-CN"/>
        </w:rPr>
        <w:t>提炼绩效指标设置</w:t>
      </w:r>
      <w:bookmarkEnd w:id="194"/>
      <w:bookmarkEnd w:id="195"/>
    </w:p>
    <w:p>
      <w:pPr>
        <w:adjustRightInd w:val="0"/>
        <w:snapToGrid w:val="0"/>
        <w:spacing w:line="360" w:lineRule="auto"/>
        <w:ind w:firstLine="640" w:firstLineChars="200"/>
        <w:rPr>
          <w:rFonts w:hint="default" w:ascii="仿宋_GB2312" w:hAnsi="仿宋_GB2312" w:eastAsia="仿宋_GB2312" w:cs="仿宋_GB2312"/>
          <w:color w:val="auto"/>
          <w:sz w:val="32"/>
          <w:szCs w:val="32"/>
          <w:highlight w:val="none"/>
          <w:lang w:val="en-US" w:eastAsia="zh-CN"/>
        </w:rPr>
      </w:pPr>
      <w:r>
        <w:rPr>
          <w:rFonts w:hint="eastAsia" w:ascii="仿宋_GB2312" w:hAnsi="仿宋_GB2312" w:cs="仿宋_GB2312"/>
          <w:color w:val="auto"/>
          <w:sz w:val="32"/>
          <w:szCs w:val="32"/>
          <w:highlight w:val="none"/>
        </w:rPr>
        <w:t>建议市经信局</w:t>
      </w:r>
      <w:r>
        <w:rPr>
          <w:rFonts w:hint="eastAsia" w:ascii="仿宋_GB2312" w:hAnsi="仿宋_GB2312" w:cs="仿宋_GB2312"/>
          <w:color w:val="auto"/>
          <w:sz w:val="32"/>
          <w:szCs w:val="32"/>
          <w:highlight w:val="none"/>
          <w:lang w:val="en-US" w:eastAsia="zh-CN"/>
        </w:rPr>
        <w:t>下一步严格按照《中央对地方专项转移支付绩效目标管理暂行办法》（财预〔2015〕163号）等管理要求，结合无线电管理经费</w:t>
      </w:r>
      <w:r>
        <w:rPr>
          <w:rFonts w:hint="eastAsia" w:ascii="仿宋_GB2312" w:hAnsi="仿宋_GB2312" w:cs="仿宋_GB2312"/>
          <w:color w:val="auto"/>
          <w:sz w:val="32"/>
          <w:szCs w:val="32"/>
          <w:highlight w:val="none"/>
        </w:rPr>
        <w:t>年度工作</w:t>
      </w:r>
      <w:r>
        <w:rPr>
          <w:rFonts w:hint="eastAsia" w:ascii="仿宋_GB2312" w:hAnsi="仿宋_GB2312" w:cs="仿宋_GB2312"/>
          <w:color w:val="auto"/>
          <w:sz w:val="32"/>
          <w:szCs w:val="32"/>
          <w:highlight w:val="none"/>
          <w:lang w:val="en-US" w:eastAsia="zh-CN"/>
        </w:rPr>
        <w:t>重点</w:t>
      </w:r>
      <w:r>
        <w:rPr>
          <w:rFonts w:hint="eastAsia" w:ascii="仿宋_GB2312" w:hAnsi="仿宋_GB2312" w:cs="仿宋_GB2312"/>
          <w:color w:val="auto"/>
          <w:sz w:val="32"/>
          <w:szCs w:val="32"/>
          <w:highlight w:val="none"/>
          <w:lang w:val="en-US" w:eastAsia="zh"/>
        </w:rPr>
        <w:t>、</w:t>
      </w:r>
      <w:r>
        <w:rPr>
          <w:rFonts w:hint="eastAsia" w:ascii="仿宋_GB2312" w:hAnsi="仿宋_GB2312" w:cs="仿宋_GB2312"/>
          <w:color w:val="auto"/>
          <w:sz w:val="32"/>
          <w:szCs w:val="32"/>
          <w:highlight w:val="none"/>
        </w:rPr>
        <w:t>预期开展项目类型及内容</w:t>
      </w:r>
      <w:r>
        <w:rPr>
          <w:rFonts w:hint="eastAsia" w:ascii="仿宋_GB2312" w:hAnsi="仿宋_GB2312" w:cs="仿宋_GB2312"/>
          <w:color w:val="auto"/>
          <w:sz w:val="32"/>
          <w:szCs w:val="32"/>
          <w:highlight w:val="none"/>
          <w:lang w:eastAsia="zh-CN"/>
        </w:rPr>
        <w:t>，</w:t>
      </w:r>
      <w:r>
        <w:rPr>
          <w:rFonts w:hint="eastAsia" w:ascii="仿宋_GB2312" w:hAnsi="仿宋_GB2312" w:cs="仿宋_GB2312"/>
          <w:color w:val="auto"/>
          <w:sz w:val="32"/>
          <w:szCs w:val="32"/>
          <w:highlight w:val="none"/>
          <w:lang w:val="en-US" w:eastAsia="zh-CN"/>
        </w:rPr>
        <w:t>明确各子项目工作内容和预期产出效益的基础上，细化编制区域绩效目标表，充分体现北京地区无线电管理经费年度的预期产出和效益。同时，编制绩效指标时应结合工作内容特点等，进一步提炼共性指标和指标值，如将</w:t>
      </w:r>
      <w:r>
        <w:rPr>
          <w:rFonts w:hint="eastAsia" w:ascii="仿宋_GB2312" w:hAnsi="仿宋_GB2312" w:cs="仿宋_GB2312"/>
          <w:color w:val="auto"/>
          <w:sz w:val="32"/>
          <w:szCs w:val="32"/>
          <w:highlight w:val="none"/>
          <w:lang w:eastAsia="zh"/>
        </w:rPr>
        <w:t>产出数量指标</w:t>
      </w:r>
      <w:r>
        <w:rPr>
          <w:rFonts w:hint="eastAsia" w:ascii="仿宋_GB2312" w:hAnsi="仿宋_GB2312" w:cs="仿宋_GB2312"/>
          <w:strike w:val="0"/>
          <w:color w:val="auto"/>
          <w:sz w:val="32"/>
          <w:szCs w:val="32"/>
          <w:highlight w:val="none"/>
          <w:lang w:eastAsia="zh"/>
        </w:rPr>
        <w:t>“印制新版无线电台执照（卫星地球站）</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eastAsia="zh"/>
        </w:rPr>
        <w:t>2000张”</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eastAsia="zh"/>
        </w:rPr>
        <w:t>“印制新版无线电台执照（地面无线电业务）</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eastAsia="zh"/>
        </w:rPr>
        <w:t>10000张”</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eastAsia="zh"/>
        </w:rPr>
        <w:t>“印制无线电台执照（业余无线电业务）</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eastAsia="zh"/>
        </w:rPr>
        <w:t>2000</w:t>
      </w:r>
      <w:r>
        <w:rPr>
          <w:rFonts w:hint="eastAsia" w:ascii="仿宋_GB2312" w:hAnsi="仿宋_GB2312" w:cs="仿宋_GB2312"/>
          <w:strike w:val="0"/>
          <w:color w:val="auto"/>
          <w:sz w:val="32"/>
          <w:szCs w:val="32"/>
          <w:highlight w:val="none"/>
          <w:lang w:val="en-US" w:eastAsia="zh-CN"/>
        </w:rPr>
        <w:t>0</w:t>
      </w:r>
      <w:r>
        <w:rPr>
          <w:rFonts w:hint="eastAsia" w:ascii="仿宋_GB2312" w:hAnsi="仿宋_GB2312" w:cs="仿宋_GB2312"/>
          <w:strike w:val="0"/>
          <w:color w:val="auto"/>
          <w:sz w:val="32"/>
          <w:szCs w:val="32"/>
          <w:highlight w:val="none"/>
          <w:lang w:eastAsia="zh"/>
        </w:rPr>
        <w:t>本”等指标</w:t>
      </w:r>
      <w:r>
        <w:rPr>
          <w:rFonts w:hint="eastAsia" w:ascii="仿宋_GB2312" w:hAnsi="仿宋_GB2312" w:cs="仿宋_GB2312"/>
          <w:strike w:val="0"/>
          <w:color w:val="auto"/>
          <w:sz w:val="32"/>
          <w:szCs w:val="32"/>
          <w:highlight w:val="none"/>
          <w:lang w:val="en-US" w:eastAsia="zh-CN"/>
        </w:rPr>
        <w:t>提炼为“</w:t>
      </w:r>
      <w:r>
        <w:rPr>
          <w:rFonts w:hint="eastAsia" w:ascii="仿宋_GB2312" w:hAnsi="仿宋_GB2312" w:cs="仿宋_GB2312"/>
          <w:strike w:val="0"/>
          <w:color w:val="auto"/>
          <w:sz w:val="32"/>
          <w:szCs w:val="32"/>
          <w:highlight w:val="none"/>
          <w:lang w:eastAsia="zh"/>
        </w:rPr>
        <w:t>印制无线电台执照</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val="en-US" w:eastAsia="zh-CN"/>
        </w:rPr>
        <w:t>含卫星地球站、地面无线电、业务无线电等</w:t>
      </w:r>
      <w:r>
        <w:rPr>
          <w:rFonts w:hint="eastAsia" w:ascii="仿宋_GB2312" w:hAnsi="仿宋_GB2312" w:cs="仿宋_GB2312"/>
          <w:strike w:val="0"/>
          <w:color w:val="auto"/>
          <w:sz w:val="32"/>
          <w:szCs w:val="32"/>
          <w:highlight w:val="none"/>
          <w:lang w:eastAsia="zh-CN"/>
        </w:rPr>
        <w:t>），</w:t>
      </w:r>
      <w:r>
        <w:rPr>
          <w:rFonts w:hint="eastAsia" w:ascii="仿宋_GB2312" w:hAnsi="仿宋_GB2312" w:cs="仿宋_GB2312"/>
          <w:strike w:val="0"/>
          <w:color w:val="auto"/>
          <w:sz w:val="32"/>
          <w:szCs w:val="32"/>
          <w:highlight w:val="none"/>
          <w:lang w:val="en-US" w:eastAsia="zh-CN"/>
        </w:rPr>
        <w:t>≥32000张（本）”</w:t>
      </w:r>
      <w:r>
        <w:rPr>
          <w:rFonts w:hint="eastAsia" w:ascii="仿宋_GB2312"/>
          <w:color w:val="auto"/>
          <w:sz w:val="32"/>
          <w:szCs w:val="32"/>
          <w:highlight w:val="none"/>
          <w:lang w:val="en-US" w:eastAsia="zh-CN"/>
        </w:rPr>
        <w:t>。</w:t>
      </w:r>
    </w:p>
    <w:p>
      <w:pPr>
        <w:adjustRightInd w:val="0"/>
        <w:snapToGrid w:val="0"/>
        <w:spacing w:line="360" w:lineRule="auto"/>
        <w:ind w:firstLine="640" w:firstLineChars="200"/>
        <w:outlineLvl w:val="1"/>
        <w:rPr>
          <w:rFonts w:hint="default" w:ascii="楷体_GB2312" w:hAnsi="楷体" w:eastAsia="楷体_GB2312"/>
          <w:bCs/>
          <w:color w:val="auto"/>
          <w:sz w:val="32"/>
          <w:szCs w:val="32"/>
          <w:highlight w:val="none"/>
          <w:lang w:val="en-US" w:eastAsia="zh-CN"/>
        </w:rPr>
      </w:pPr>
      <w:bookmarkStart w:id="196" w:name="_Toc28327"/>
      <w:bookmarkStart w:id="197" w:name="_Toc11839"/>
      <w:bookmarkStart w:id="198" w:name="_Toc17146"/>
      <w:r>
        <w:rPr>
          <w:rFonts w:hint="eastAsia" w:ascii="楷体_GB2312" w:hAnsi="楷体" w:eastAsia="楷体_GB2312"/>
          <w:bCs/>
          <w:color w:val="auto"/>
          <w:sz w:val="32"/>
          <w:szCs w:val="32"/>
          <w:highlight w:val="none"/>
        </w:rPr>
        <w:t>（</w:t>
      </w:r>
      <w:r>
        <w:rPr>
          <w:rFonts w:hint="eastAsia" w:ascii="楷体_GB2312" w:hAnsi="楷体" w:eastAsia="楷体_GB2312"/>
          <w:bCs/>
          <w:color w:val="auto"/>
          <w:sz w:val="32"/>
          <w:szCs w:val="32"/>
          <w:highlight w:val="none"/>
          <w:lang w:val="en-US" w:eastAsia="zh-CN"/>
        </w:rPr>
        <w:t>二</w:t>
      </w:r>
      <w:r>
        <w:rPr>
          <w:rFonts w:hint="eastAsia" w:ascii="楷体_GB2312" w:hAnsi="楷体" w:eastAsia="楷体_GB2312"/>
          <w:bCs/>
          <w:color w:val="auto"/>
          <w:sz w:val="32"/>
          <w:szCs w:val="32"/>
          <w:highlight w:val="none"/>
        </w:rPr>
        <w:t>）</w:t>
      </w:r>
      <w:r>
        <w:rPr>
          <w:rFonts w:hint="eastAsia" w:ascii="楷体_GB2312" w:hAnsi="楷体" w:eastAsia="楷体_GB2312"/>
          <w:bCs/>
          <w:color w:val="auto"/>
          <w:sz w:val="32"/>
          <w:szCs w:val="32"/>
          <w:highlight w:val="none"/>
          <w:lang w:val="en-US" w:eastAsia="zh-CN"/>
        </w:rPr>
        <w:t>细化编制项目预算，</w:t>
      </w:r>
      <w:bookmarkEnd w:id="196"/>
      <w:bookmarkEnd w:id="197"/>
      <w:r>
        <w:rPr>
          <w:rFonts w:hint="eastAsia" w:ascii="楷体_GB2312" w:hAnsi="楷体" w:eastAsia="楷体_GB2312"/>
          <w:bCs/>
          <w:color w:val="auto"/>
          <w:sz w:val="32"/>
          <w:szCs w:val="32"/>
          <w:highlight w:val="none"/>
          <w:lang w:val="en-US" w:eastAsia="zh-CN"/>
        </w:rPr>
        <w:t>提高资金分配合理性</w:t>
      </w:r>
      <w:bookmarkEnd w:id="198"/>
    </w:p>
    <w:p>
      <w:pPr>
        <w:adjustRightInd w:val="0"/>
        <w:snapToGrid w:val="0"/>
        <w:spacing w:line="360" w:lineRule="auto"/>
        <w:ind w:firstLine="640" w:firstLineChars="200"/>
        <w:outlineLvl w:val="9"/>
        <w:rPr>
          <w:rFonts w:hint="default" w:ascii="仿宋_GB2312"/>
          <w:color w:val="auto"/>
          <w:sz w:val="32"/>
          <w:szCs w:val="32"/>
          <w:highlight w:val="none"/>
          <w:lang w:val="en-US" w:eastAsia="zh-CN"/>
        </w:rPr>
      </w:pPr>
      <w:r>
        <w:rPr>
          <w:rFonts w:hint="eastAsia" w:ascii="仿宋_GB2312"/>
          <w:color w:val="auto"/>
          <w:sz w:val="32"/>
          <w:szCs w:val="32"/>
          <w:highlight w:val="none"/>
          <w:lang w:val="en-US" w:eastAsia="zh-CN"/>
        </w:rPr>
        <w:t>建议市经信局在编制年度项目预算时，充分考虑上年度项目结转资金规模和当年度项目拟实施的工作内容，细化项目预算测算过程，明确费用构成所需的人工、物料等数量和费用单价，合理测算当年项目所需经费，提高预算编制的科学性，也为下一步资金分配依据的充分性、分配额度的合理性和实施单位项目经费规模的相符性等提供支撑。</w:t>
      </w:r>
    </w:p>
    <w:p>
      <w:pPr>
        <w:adjustRightInd w:val="0"/>
        <w:snapToGrid w:val="0"/>
        <w:spacing w:line="360" w:lineRule="auto"/>
        <w:ind w:firstLine="640" w:firstLineChars="200"/>
        <w:outlineLvl w:val="1"/>
        <w:rPr>
          <w:rFonts w:hint="default" w:ascii="楷体_GB2312" w:hAnsi="楷体" w:eastAsia="楷体_GB2312"/>
          <w:bCs/>
          <w:color w:val="auto"/>
          <w:sz w:val="32"/>
          <w:szCs w:val="32"/>
          <w:highlight w:val="none"/>
          <w:lang w:val="en-US" w:eastAsia="zh-CN"/>
        </w:rPr>
      </w:pPr>
      <w:bookmarkStart w:id="199" w:name="_Toc18823"/>
      <w:r>
        <w:rPr>
          <w:rFonts w:hint="eastAsia" w:ascii="楷体_GB2312" w:hAnsi="楷体" w:eastAsia="楷体_GB2312"/>
          <w:bCs/>
          <w:color w:val="auto"/>
          <w:sz w:val="32"/>
          <w:szCs w:val="32"/>
          <w:highlight w:val="none"/>
        </w:rPr>
        <w:t>（</w:t>
      </w:r>
      <w:r>
        <w:rPr>
          <w:rFonts w:hint="eastAsia" w:ascii="楷体_GB2312" w:hAnsi="楷体" w:eastAsia="楷体_GB2312"/>
          <w:bCs/>
          <w:color w:val="auto"/>
          <w:sz w:val="32"/>
          <w:szCs w:val="32"/>
          <w:highlight w:val="none"/>
          <w:lang w:val="en-US" w:eastAsia="zh-CN"/>
        </w:rPr>
        <w:t>三</w:t>
      </w:r>
      <w:r>
        <w:rPr>
          <w:rFonts w:hint="eastAsia" w:ascii="楷体_GB2312" w:hAnsi="楷体" w:eastAsia="楷体_GB2312"/>
          <w:bCs/>
          <w:color w:val="auto"/>
          <w:sz w:val="32"/>
          <w:szCs w:val="32"/>
          <w:highlight w:val="none"/>
        </w:rPr>
        <w:t>）</w:t>
      </w:r>
      <w:r>
        <w:rPr>
          <w:rFonts w:hint="eastAsia" w:ascii="楷体_GB2312" w:hAnsi="楷体" w:eastAsia="楷体_GB2312"/>
          <w:bCs/>
          <w:color w:val="auto"/>
          <w:sz w:val="32"/>
          <w:szCs w:val="32"/>
          <w:highlight w:val="none"/>
          <w:lang w:val="en-US" w:eastAsia="zh-CN"/>
        </w:rPr>
        <w:t>加快资金执行进度</w:t>
      </w:r>
      <w:r>
        <w:rPr>
          <w:rFonts w:hint="eastAsia" w:ascii="楷体_GB2312" w:hAnsi="楷体" w:eastAsia="楷体_GB2312"/>
          <w:bCs/>
          <w:color w:val="auto"/>
          <w:sz w:val="32"/>
          <w:szCs w:val="32"/>
          <w:highlight w:val="none"/>
        </w:rPr>
        <w:t>，</w:t>
      </w:r>
      <w:r>
        <w:rPr>
          <w:rFonts w:hint="eastAsia" w:ascii="楷体_GB2312" w:hAnsi="楷体" w:eastAsia="楷体_GB2312"/>
          <w:bCs/>
          <w:color w:val="auto"/>
          <w:sz w:val="32"/>
          <w:szCs w:val="32"/>
          <w:highlight w:val="none"/>
          <w:lang w:val="en-US" w:eastAsia="zh-CN"/>
        </w:rPr>
        <w:t>规范项目过程管理</w:t>
      </w:r>
      <w:bookmarkEnd w:id="199"/>
    </w:p>
    <w:p>
      <w:pPr>
        <w:adjustRightInd w:val="0"/>
        <w:snapToGrid w:val="0"/>
        <w:spacing w:line="360" w:lineRule="auto"/>
        <w:ind w:firstLine="643" w:firstLineChars="200"/>
        <w:outlineLvl w:val="9"/>
        <w:rPr>
          <w:rFonts w:hint="default" w:ascii="仿宋_GB2312" w:hAnsi="仿宋"/>
          <w:b w:val="0"/>
          <w:bCs w:val="0"/>
          <w:color w:val="auto"/>
          <w:sz w:val="32"/>
          <w:szCs w:val="32"/>
          <w:highlight w:val="none"/>
          <w:lang w:val="en-US" w:eastAsia="zh-CN"/>
        </w:rPr>
      </w:pPr>
      <w:r>
        <w:rPr>
          <w:rFonts w:hint="eastAsia" w:ascii="仿宋_GB2312" w:hAnsi="仿宋"/>
          <w:b/>
          <w:bCs/>
          <w:color w:val="auto"/>
          <w:sz w:val="32"/>
          <w:szCs w:val="32"/>
          <w:highlight w:val="none"/>
          <w:lang w:val="en-US" w:eastAsia="zh-CN"/>
        </w:rPr>
        <w:t>一是</w:t>
      </w:r>
      <w:r>
        <w:rPr>
          <w:rFonts w:hint="eastAsia" w:ascii="仿宋_GB2312" w:hAnsi="仿宋"/>
          <w:b w:val="0"/>
          <w:bCs w:val="0"/>
          <w:color w:val="auto"/>
          <w:sz w:val="32"/>
          <w:szCs w:val="32"/>
          <w:highlight w:val="none"/>
          <w:lang w:val="en-US" w:eastAsia="zh-CN"/>
        </w:rPr>
        <w:t>提高项目执行进展，加快资金执行进度。进一步完善项目实施方案，明确项目实施计划，预期开展的工作内容和拟交付成果，加强项目实施过程中的监督检查，加快项目执行进度和资金执行进度。</w:t>
      </w:r>
      <w:r>
        <w:rPr>
          <w:rFonts w:hint="eastAsia" w:ascii="仿宋_GB2312" w:hAnsi="仿宋"/>
          <w:b/>
          <w:bCs/>
          <w:color w:val="auto"/>
          <w:sz w:val="32"/>
          <w:szCs w:val="32"/>
          <w:highlight w:val="none"/>
          <w:lang w:val="en-US" w:eastAsia="zh-CN"/>
        </w:rPr>
        <w:t>二是</w:t>
      </w:r>
      <w:r>
        <w:rPr>
          <w:rFonts w:hint="eastAsia" w:ascii="仿宋_GB2312" w:hAnsi="仿宋"/>
          <w:b w:val="0"/>
          <w:bCs w:val="0"/>
          <w:color w:val="auto"/>
          <w:sz w:val="32"/>
          <w:szCs w:val="32"/>
          <w:highlight w:val="none"/>
          <w:lang w:val="en-US" w:eastAsia="zh-CN"/>
        </w:rPr>
        <w:t>优化合同签订管理，加强合同文本审核管理，合理确定监理类项目签订周期，避免在项目实施内容不明确的情况下签订固定费用合同，</w:t>
      </w:r>
      <w:r>
        <w:rPr>
          <w:rFonts w:hint="eastAsia" w:ascii="仿宋_GB2312"/>
          <w:color w:val="auto"/>
          <w:sz w:val="32"/>
          <w:szCs w:val="32"/>
          <w:highlight w:val="none"/>
          <w:lang w:val="en-US" w:eastAsia="zh-CN"/>
        </w:rPr>
        <w:t>对在履约过程中发现有误的项目关键合同文本</w:t>
      </w:r>
      <w:r>
        <w:rPr>
          <w:rFonts w:hint="eastAsia" w:ascii="仿宋_GB2312"/>
          <w:color w:val="auto"/>
          <w:sz w:val="32"/>
          <w:szCs w:val="32"/>
          <w:highlight w:val="none"/>
          <w:lang w:eastAsia="zh-CN"/>
        </w:rPr>
        <w:t>，</w:t>
      </w:r>
      <w:r>
        <w:rPr>
          <w:rFonts w:hint="eastAsia" w:ascii="仿宋_GB2312"/>
          <w:color w:val="auto"/>
          <w:sz w:val="32"/>
          <w:szCs w:val="32"/>
          <w:highlight w:val="none"/>
          <w:lang w:val="en-US" w:eastAsia="zh-CN"/>
        </w:rPr>
        <w:t>及时通过与受托方签订</w:t>
      </w:r>
      <w:r>
        <w:rPr>
          <w:rFonts w:hint="eastAsia" w:ascii="仿宋_GB2312"/>
          <w:color w:val="auto"/>
          <w:sz w:val="32"/>
          <w:szCs w:val="32"/>
          <w:highlight w:val="none"/>
        </w:rPr>
        <w:t>补充协议，</w:t>
      </w:r>
      <w:r>
        <w:rPr>
          <w:rFonts w:hint="eastAsia" w:ascii="仿宋_GB2312" w:hAnsi="仿宋" w:eastAsia="仿宋_GB2312" w:cs="Times New Roman"/>
          <w:color w:val="auto"/>
          <w:kern w:val="2"/>
          <w:sz w:val="32"/>
          <w:szCs w:val="32"/>
          <w:highlight w:val="none"/>
        </w:rPr>
        <w:t>变更</w:t>
      </w:r>
      <w:r>
        <w:rPr>
          <w:rFonts w:hint="eastAsia" w:ascii="仿宋_GB2312"/>
          <w:color w:val="auto"/>
          <w:sz w:val="32"/>
          <w:szCs w:val="32"/>
          <w:highlight w:val="none"/>
          <w:lang w:val="en-US" w:eastAsia="zh-CN"/>
        </w:rPr>
        <w:t>合同条款</w:t>
      </w:r>
      <w:r>
        <w:rPr>
          <w:rFonts w:hint="eastAsia" w:ascii="仿宋_GB2312" w:hAnsi="仿宋" w:cs="Times New Roman"/>
          <w:color w:val="auto"/>
          <w:kern w:val="2"/>
          <w:sz w:val="32"/>
          <w:szCs w:val="32"/>
          <w:highlight w:val="none"/>
          <w:lang w:val="en-US" w:eastAsia="zh-CN"/>
        </w:rPr>
        <w:t>等调整手段，</w:t>
      </w:r>
      <w:r>
        <w:rPr>
          <w:rFonts w:hint="eastAsia" w:ascii="仿宋_GB2312" w:hAnsi="仿宋"/>
          <w:color w:val="auto"/>
          <w:sz w:val="32"/>
          <w:szCs w:val="32"/>
          <w:highlight w:val="none"/>
          <w:lang w:val="en-US" w:eastAsia="zh-CN"/>
        </w:rPr>
        <w:t>规避合同纠纷或经济利益受损风险。</w:t>
      </w:r>
      <w:r>
        <w:rPr>
          <w:rFonts w:hint="eastAsia" w:ascii="仿宋_GB2312" w:hAnsi="仿宋"/>
          <w:b/>
          <w:bCs/>
          <w:color w:val="auto"/>
          <w:sz w:val="32"/>
          <w:szCs w:val="32"/>
          <w:highlight w:val="none"/>
          <w:lang w:val="en-US" w:eastAsia="zh-CN"/>
        </w:rPr>
        <w:t>三是</w:t>
      </w:r>
      <w:r>
        <w:rPr>
          <w:rFonts w:hint="eastAsia" w:ascii="仿宋_GB2312"/>
          <w:color w:val="auto"/>
          <w:sz w:val="32"/>
          <w:szCs w:val="32"/>
          <w:highlight w:val="none"/>
          <w:lang w:val="en-US" w:eastAsia="zh-CN"/>
        </w:rPr>
        <w:t>规范资金支出和报销管理，加强财务列支科目和实际支出内容审核，提高财务核算规范性。</w:t>
      </w:r>
    </w:p>
    <w:bookmarkEnd w:id="179"/>
    <w:bookmarkEnd w:id="180"/>
    <w:p>
      <w:pPr>
        <w:adjustRightInd w:val="0"/>
        <w:snapToGrid w:val="0"/>
        <w:spacing w:line="360" w:lineRule="auto"/>
        <w:ind w:firstLine="640" w:firstLineChars="200"/>
        <w:outlineLvl w:val="0"/>
        <w:rPr>
          <w:rFonts w:ascii="黑体" w:hAnsi="黑体" w:eastAsia="黑体"/>
          <w:bCs/>
          <w:color w:val="auto"/>
          <w:sz w:val="32"/>
          <w:szCs w:val="32"/>
          <w:highlight w:val="none"/>
        </w:rPr>
      </w:pPr>
      <w:bookmarkStart w:id="200" w:name="_Toc9147"/>
      <w:bookmarkStart w:id="201" w:name="_Toc17549"/>
      <w:bookmarkStart w:id="202" w:name="_Toc98688003"/>
      <w:bookmarkStart w:id="203" w:name="_Toc21126"/>
      <w:bookmarkStart w:id="204" w:name="_Toc13191"/>
      <w:bookmarkStart w:id="205" w:name="_Toc55475206"/>
      <w:r>
        <w:rPr>
          <w:rFonts w:hint="eastAsia" w:ascii="黑体" w:hAnsi="黑体" w:eastAsia="黑体"/>
          <w:bCs/>
          <w:color w:val="auto"/>
          <w:sz w:val="32"/>
          <w:szCs w:val="32"/>
          <w:highlight w:val="none"/>
        </w:rPr>
        <w:t>八、其他需要说明的问题</w:t>
      </w:r>
      <w:bookmarkEnd w:id="200"/>
      <w:bookmarkEnd w:id="201"/>
      <w:bookmarkEnd w:id="202"/>
      <w:bookmarkEnd w:id="203"/>
      <w:bookmarkEnd w:id="204"/>
    </w:p>
    <w:p>
      <w:pPr>
        <w:autoSpaceDE w:val="0"/>
        <w:autoSpaceDN w:val="0"/>
        <w:adjustRightInd w:val="0"/>
        <w:snapToGrid w:val="0"/>
        <w:spacing w:line="360" w:lineRule="auto"/>
        <w:ind w:left="64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无。</w:t>
      </w:r>
    </w:p>
    <w:p>
      <w:pPr>
        <w:adjustRightInd w:val="0"/>
        <w:snapToGrid w:val="0"/>
        <w:spacing w:line="360" w:lineRule="auto"/>
        <w:ind w:firstLine="640" w:firstLineChars="200"/>
        <w:outlineLvl w:val="0"/>
        <w:rPr>
          <w:rFonts w:ascii="黑体" w:hAnsi="黑体" w:eastAsia="黑体"/>
          <w:bCs/>
          <w:color w:val="auto"/>
          <w:sz w:val="32"/>
          <w:szCs w:val="32"/>
          <w:highlight w:val="none"/>
        </w:rPr>
      </w:pPr>
      <w:bookmarkStart w:id="206" w:name="_Toc1805"/>
      <w:bookmarkStart w:id="207" w:name="_Toc18486"/>
      <w:bookmarkStart w:id="208" w:name="_Toc1281"/>
      <w:bookmarkStart w:id="209" w:name="_Toc2580"/>
      <w:r>
        <w:rPr>
          <w:rFonts w:hint="eastAsia" w:ascii="黑体" w:hAnsi="黑体" w:eastAsia="黑体"/>
          <w:bCs/>
          <w:color w:val="auto"/>
          <w:sz w:val="32"/>
          <w:szCs w:val="32"/>
          <w:highlight w:val="none"/>
        </w:rPr>
        <w:t>九、附件</w:t>
      </w:r>
      <w:bookmarkEnd w:id="205"/>
      <w:bookmarkEnd w:id="206"/>
      <w:bookmarkEnd w:id="207"/>
      <w:bookmarkEnd w:id="208"/>
      <w:bookmarkEnd w:id="209"/>
    </w:p>
    <w:p>
      <w:pPr>
        <w:autoSpaceDE w:val="0"/>
        <w:autoSpaceDN w:val="0"/>
        <w:adjustRightInd w:val="0"/>
        <w:snapToGrid w:val="0"/>
        <w:spacing w:line="360" w:lineRule="auto"/>
        <w:ind w:left="64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附件1：绩效评价指标体系</w:t>
      </w:r>
    </w:p>
    <w:p>
      <w:pPr>
        <w:autoSpaceDE w:val="0"/>
        <w:autoSpaceDN w:val="0"/>
        <w:adjustRightInd w:val="0"/>
        <w:snapToGrid w:val="0"/>
        <w:spacing w:line="360" w:lineRule="auto"/>
        <w:ind w:left="64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附件2：专家评分汇总表</w:t>
      </w:r>
    </w:p>
    <w:p>
      <w:pPr>
        <w:autoSpaceDE w:val="0"/>
        <w:autoSpaceDN w:val="0"/>
        <w:adjustRightInd w:val="0"/>
        <w:snapToGrid w:val="0"/>
        <w:spacing w:line="360" w:lineRule="auto"/>
        <w:ind w:left="64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附件3：20</w:t>
      </w:r>
      <w:r>
        <w:rPr>
          <w:rFonts w:ascii="仿宋_GB2312" w:hAnsi="仿宋_GB2312" w:cs="仿宋_GB2312"/>
          <w:color w:val="auto"/>
          <w:sz w:val="32"/>
          <w:szCs w:val="32"/>
          <w:highlight w:val="none"/>
        </w:rPr>
        <w:t>2</w:t>
      </w:r>
      <w:r>
        <w:rPr>
          <w:rFonts w:hint="eastAsia" w:ascii="仿宋_GB2312" w:hAnsi="仿宋_GB2312" w:cs="仿宋_GB2312"/>
          <w:color w:val="auto"/>
          <w:sz w:val="32"/>
          <w:szCs w:val="32"/>
          <w:highlight w:val="none"/>
          <w:lang w:val="en-US" w:eastAsia="zh-CN"/>
        </w:rPr>
        <w:t>3</w:t>
      </w:r>
      <w:r>
        <w:rPr>
          <w:rFonts w:hint="eastAsia" w:ascii="仿宋_GB2312" w:hAnsi="仿宋_GB2312" w:cs="仿宋_GB2312"/>
          <w:color w:val="auto"/>
          <w:sz w:val="32"/>
          <w:szCs w:val="32"/>
          <w:highlight w:val="none"/>
        </w:rPr>
        <w:t>年度项目执行情况</w:t>
      </w:r>
    </w:p>
    <w:p>
      <w:pPr>
        <w:autoSpaceDE w:val="0"/>
        <w:autoSpaceDN w:val="0"/>
        <w:adjustRightInd w:val="0"/>
        <w:snapToGrid w:val="0"/>
        <w:spacing w:line="360" w:lineRule="auto"/>
        <w:ind w:left="640"/>
        <w:rPr>
          <w:rFonts w:ascii="仿宋_GB2312" w:hAnsi="仿宋_GB2312" w:cs="仿宋_GB2312"/>
          <w:color w:val="auto"/>
          <w:sz w:val="32"/>
          <w:szCs w:val="32"/>
          <w:highlight w:val="none"/>
        </w:rPr>
      </w:pPr>
      <w:r>
        <w:rPr>
          <w:rFonts w:hint="eastAsia" w:ascii="仿宋_GB2312" w:hAnsi="仿宋_GB2312" w:cs="仿宋_GB2312"/>
          <w:color w:val="auto"/>
          <w:sz w:val="32"/>
          <w:szCs w:val="32"/>
          <w:highlight w:val="none"/>
        </w:rPr>
        <w:t>附件4：专家及工作组情况表</w:t>
      </w:r>
    </w:p>
    <w:p>
      <w:pPr>
        <w:autoSpaceDE w:val="0"/>
        <w:autoSpaceDN w:val="0"/>
        <w:adjustRightInd w:val="0"/>
        <w:snapToGrid w:val="0"/>
        <w:spacing w:line="360" w:lineRule="auto"/>
        <w:ind w:left="640"/>
        <w:rPr>
          <w:rFonts w:ascii="仿宋_GB2312" w:hAnsi="仿宋_GB2312" w:cs="仿宋_GB2312"/>
          <w:color w:val="auto"/>
          <w:sz w:val="32"/>
          <w:szCs w:val="32"/>
          <w:highlight w:val="none"/>
        </w:rPr>
      </w:pPr>
    </w:p>
    <w:p>
      <w:pPr>
        <w:autoSpaceDE w:val="0"/>
        <w:autoSpaceDN w:val="0"/>
        <w:adjustRightInd w:val="0"/>
        <w:snapToGrid w:val="0"/>
        <w:spacing w:line="360" w:lineRule="auto"/>
        <w:ind w:left="0"/>
        <w:rPr>
          <w:rFonts w:ascii="仿宋_GB2312" w:hAnsi="仿宋_GB2312" w:cs="仿宋_GB2312"/>
          <w:color w:val="auto"/>
          <w:sz w:val="32"/>
          <w:szCs w:val="32"/>
          <w:highlight w:val="none"/>
        </w:rPr>
      </w:pPr>
    </w:p>
    <w:p>
      <w:pPr>
        <w:widowControl/>
        <w:adjustRightInd w:val="0"/>
        <w:snapToGrid w:val="0"/>
        <w:spacing w:after="156" w:afterLines="50" w:line="360" w:lineRule="auto"/>
        <w:jc w:val="right"/>
        <w:rPr>
          <w:rFonts w:hint="eastAsia"/>
          <w:color w:val="auto"/>
          <w:sz w:val="32"/>
          <w:szCs w:val="32"/>
          <w:highlight w:val="none"/>
        </w:rPr>
      </w:pPr>
    </w:p>
    <w:p>
      <w:pPr>
        <w:widowControl/>
        <w:adjustRightInd w:val="0"/>
        <w:snapToGrid w:val="0"/>
        <w:spacing w:after="156" w:afterLines="50" w:line="360" w:lineRule="auto"/>
        <w:jc w:val="right"/>
        <w:rPr>
          <w:rFonts w:hint="eastAsia"/>
          <w:color w:val="auto"/>
          <w:sz w:val="32"/>
          <w:szCs w:val="32"/>
          <w:highlight w:val="none"/>
        </w:rPr>
      </w:pPr>
    </w:p>
    <w:p>
      <w:pPr>
        <w:widowControl/>
        <w:adjustRightInd w:val="0"/>
        <w:snapToGrid w:val="0"/>
        <w:spacing w:after="156" w:afterLines="50" w:line="360" w:lineRule="auto"/>
        <w:jc w:val="right"/>
        <w:rPr>
          <w:rFonts w:hint="eastAsia"/>
          <w:color w:val="auto"/>
          <w:sz w:val="32"/>
          <w:szCs w:val="32"/>
          <w:highlight w:val="none"/>
        </w:rPr>
      </w:pPr>
    </w:p>
    <w:p>
      <w:pPr>
        <w:widowControl/>
        <w:adjustRightInd w:val="0"/>
        <w:snapToGrid w:val="0"/>
        <w:spacing w:after="156" w:afterLines="50" w:line="360" w:lineRule="auto"/>
        <w:jc w:val="right"/>
        <w:rPr>
          <w:rFonts w:hint="eastAsia"/>
          <w:color w:val="auto"/>
          <w:sz w:val="32"/>
          <w:szCs w:val="32"/>
          <w:highlight w:val="none"/>
        </w:rPr>
      </w:pPr>
    </w:p>
    <w:p>
      <w:pPr>
        <w:widowControl/>
        <w:adjustRightInd w:val="0"/>
        <w:snapToGrid w:val="0"/>
        <w:spacing w:after="156" w:afterLines="50" w:line="360" w:lineRule="auto"/>
        <w:jc w:val="right"/>
        <w:rPr>
          <w:rFonts w:hint="eastAsia"/>
          <w:color w:val="auto"/>
          <w:sz w:val="32"/>
          <w:szCs w:val="32"/>
          <w:highlight w:val="none"/>
        </w:rPr>
      </w:pPr>
    </w:p>
    <w:p>
      <w:pPr>
        <w:widowControl/>
        <w:adjustRightInd w:val="0"/>
        <w:snapToGrid w:val="0"/>
        <w:spacing w:after="156" w:afterLines="50" w:line="360" w:lineRule="auto"/>
        <w:jc w:val="right"/>
        <w:rPr>
          <w:rFonts w:hint="eastAsia"/>
          <w:color w:val="auto"/>
          <w:sz w:val="32"/>
          <w:szCs w:val="32"/>
          <w:highlight w:val="none"/>
        </w:rPr>
      </w:pPr>
    </w:p>
    <w:p>
      <w:pPr>
        <w:widowControl/>
        <w:adjustRightInd w:val="0"/>
        <w:snapToGrid w:val="0"/>
        <w:spacing w:after="156" w:afterLines="50" w:line="360" w:lineRule="auto"/>
        <w:jc w:val="right"/>
        <w:rPr>
          <w:rFonts w:hint="eastAsia"/>
          <w:color w:val="auto"/>
          <w:sz w:val="32"/>
          <w:szCs w:val="32"/>
          <w:highlight w:val="none"/>
        </w:rPr>
      </w:pPr>
    </w:p>
    <w:p>
      <w:pPr>
        <w:widowControl/>
        <w:adjustRightInd w:val="0"/>
        <w:snapToGrid w:val="0"/>
        <w:spacing w:after="156" w:afterLines="50" w:line="360" w:lineRule="auto"/>
        <w:jc w:val="right"/>
        <w:rPr>
          <w:rFonts w:hint="eastAsia"/>
          <w:color w:val="auto"/>
          <w:sz w:val="32"/>
          <w:szCs w:val="32"/>
          <w:highlight w:val="none"/>
        </w:rPr>
      </w:pPr>
    </w:p>
    <w:p>
      <w:pPr>
        <w:keepNext w:val="0"/>
        <w:keepLines w:val="0"/>
        <w:pageBreakBefore w:val="0"/>
        <w:widowControl/>
        <w:kinsoku/>
        <w:overflowPunct/>
        <w:topLinePunct w:val="0"/>
        <w:autoSpaceDE/>
        <w:autoSpaceDN/>
        <w:bidi w:val="0"/>
        <w:adjustRightInd w:val="0"/>
        <w:snapToGrid w:val="0"/>
        <w:spacing w:before="157" w:beforeLines="50" w:after="156" w:afterLines="50" w:line="360" w:lineRule="auto"/>
        <w:jc w:val="right"/>
        <w:textAlignment w:val="auto"/>
        <w:rPr>
          <w:color w:val="auto"/>
          <w:sz w:val="32"/>
          <w:szCs w:val="32"/>
          <w:highlight w:val="none"/>
        </w:rPr>
      </w:pPr>
      <w:r>
        <w:rPr>
          <w:rFonts w:hint="eastAsia"/>
          <w:color w:val="auto"/>
          <w:sz w:val="32"/>
          <w:szCs w:val="32"/>
          <w:highlight w:val="none"/>
        </w:rPr>
        <w:t>北京立瑞会计师事务所（普通合伙）</w:t>
      </w:r>
    </w:p>
    <w:p>
      <w:pPr>
        <w:keepNext w:val="0"/>
        <w:keepLines w:val="0"/>
        <w:pageBreakBefore w:val="0"/>
        <w:widowControl/>
        <w:kinsoku/>
        <w:wordWrap w:val="0"/>
        <w:overflowPunct/>
        <w:topLinePunct w:val="0"/>
        <w:autoSpaceDE/>
        <w:autoSpaceDN/>
        <w:bidi w:val="0"/>
        <w:adjustRightInd w:val="0"/>
        <w:snapToGrid w:val="0"/>
        <w:spacing w:before="469" w:beforeLines="150" w:after="313" w:afterLines="100" w:line="360" w:lineRule="auto"/>
        <w:ind w:firstLine="1120" w:firstLineChars="350"/>
        <w:jc w:val="right"/>
        <w:textAlignment w:val="auto"/>
        <w:rPr>
          <w:rFonts w:hint="default" w:eastAsia="仿宋_GB2312"/>
          <w:color w:val="auto"/>
          <w:sz w:val="32"/>
          <w:szCs w:val="32"/>
          <w:highlight w:val="none"/>
          <w:lang w:val="en-US" w:eastAsia="zh-CN"/>
        </w:rPr>
      </w:pPr>
      <w:r>
        <w:rPr>
          <w:rFonts w:hint="eastAsia"/>
          <w:color w:val="auto"/>
          <w:sz w:val="32"/>
          <w:szCs w:val="32"/>
          <w:highlight w:val="none"/>
        </w:rPr>
        <w:t>（盖章）主评人签字：</w:t>
      </w:r>
      <w:r>
        <w:rPr>
          <w:rFonts w:hint="eastAsia"/>
          <w:color w:val="auto"/>
          <w:sz w:val="32"/>
          <w:szCs w:val="32"/>
          <w:highlight w:val="none"/>
          <w:lang w:val="en-US" w:eastAsia="zh-CN"/>
        </w:rPr>
        <w:t xml:space="preserve">            </w:t>
      </w:r>
    </w:p>
    <w:p>
      <w:pPr>
        <w:keepNext w:val="0"/>
        <w:keepLines w:val="0"/>
        <w:pageBreakBefore w:val="0"/>
        <w:widowControl/>
        <w:kinsoku/>
        <w:wordWrap w:val="0"/>
        <w:overflowPunct/>
        <w:topLinePunct w:val="0"/>
        <w:autoSpaceDE/>
        <w:autoSpaceDN/>
        <w:bidi w:val="0"/>
        <w:adjustRightInd w:val="0"/>
        <w:snapToGrid w:val="0"/>
        <w:spacing w:before="157" w:beforeLines="50" w:after="156" w:afterLines="50" w:line="360" w:lineRule="auto"/>
        <w:ind w:firstLine="640" w:firstLineChars="200"/>
        <w:jc w:val="center"/>
        <w:textAlignment w:val="auto"/>
        <w:rPr>
          <w:rFonts w:hint="eastAsia" w:eastAsia="仿宋_GB2312"/>
          <w:color w:val="auto"/>
          <w:sz w:val="32"/>
          <w:szCs w:val="32"/>
          <w:highlight w:val="none"/>
          <w:lang w:eastAsia="zh-CN"/>
        </w:rPr>
      </w:pPr>
      <w:r>
        <w:rPr>
          <w:rFonts w:hint="eastAsia"/>
          <w:color w:val="auto"/>
          <w:sz w:val="32"/>
          <w:szCs w:val="32"/>
          <w:highlight w:val="none"/>
        </w:rPr>
        <w:t>2023年</w:t>
      </w:r>
      <w:r>
        <w:rPr>
          <w:rFonts w:hint="eastAsia"/>
          <w:color w:val="auto"/>
          <w:sz w:val="32"/>
          <w:szCs w:val="32"/>
          <w:highlight w:val="none"/>
          <w:lang w:val="en-US" w:eastAsia="zh-CN"/>
        </w:rPr>
        <w:t>5</w:t>
      </w:r>
      <w:r>
        <w:rPr>
          <w:rFonts w:hint="eastAsia"/>
          <w:color w:val="auto"/>
          <w:sz w:val="32"/>
          <w:szCs w:val="32"/>
          <w:highlight w:val="none"/>
        </w:rPr>
        <w:t>月</w:t>
      </w:r>
      <w:r>
        <w:rPr>
          <w:rFonts w:hint="eastAsia"/>
          <w:color w:val="auto"/>
          <w:sz w:val="32"/>
          <w:szCs w:val="32"/>
          <w:highlight w:val="none"/>
          <w:lang w:val="en-US" w:eastAsia="zh-CN"/>
        </w:rPr>
        <w:t>13</w:t>
      </w:r>
      <w:r>
        <w:rPr>
          <w:rFonts w:hint="eastAsia"/>
          <w:color w:val="auto"/>
          <w:sz w:val="32"/>
          <w:szCs w:val="32"/>
          <w:highlight w:val="none"/>
        </w:rPr>
        <w:t>日</w:t>
      </w:r>
    </w:p>
    <w:p>
      <w:pPr>
        <w:widowControl/>
        <w:wordWrap w:val="0"/>
        <w:adjustRightInd w:val="0"/>
        <w:snapToGrid w:val="0"/>
        <w:spacing w:after="156" w:afterLines="50" w:line="360" w:lineRule="auto"/>
        <w:jc w:val="both"/>
        <w:rPr>
          <w:rFonts w:hint="eastAsia" w:ascii="仿宋_GB2312" w:hAnsi="仿宋_GB2312" w:eastAsia="仿宋_GB2312" w:cs="仿宋_GB2312"/>
          <w:color w:val="auto"/>
          <w:sz w:val="32"/>
          <w:szCs w:val="32"/>
          <w:highlight w:val="none"/>
          <w:lang w:eastAsia="zh-CN"/>
        </w:rPr>
      </w:pPr>
    </w:p>
    <w:sectPr>
      <w:footerReference r:id="rId5" w:type="default"/>
      <w:pgSz w:w="11906" w:h="16838"/>
      <w:pgMar w:top="2098" w:right="1531" w:bottom="1984" w:left="1531"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3FACA4EF-0A52-4146-9201-FF2F43BA0E50}"/>
  </w:font>
  <w:font w:name="黑体">
    <w:panose1 w:val="02010609060101010101"/>
    <w:charset w:val="86"/>
    <w:family w:val="auto"/>
    <w:pitch w:val="default"/>
    <w:sig w:usb0="800002BF" w:usb1="38CF7CFA" w:usb2="00000016" w:usb3="00000000" w:csb0="00040001" w:csb1="00000000"/>
    <w:embedRegular r:id="rId2" w:fontKey="{7D3E538E-7735-42EE-AA85-C577AC91A25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F6ECC01B-60D2-49BE-BC4D-960F52C2B7A8}"/>
  </w:font>
  <w:font w:name="仿宋_GB2312">
    <w:panose1 w:val="02010609030101010101"/>
    <w:charset w:val="86"/>
    <w:family w:val="auto"/>
    <w:pitch w:val="default"/>
    <w:sig w:usb0="00000001" w:usb1="080E0000" w:usb2="00000000" w:usb3="00000000" w:csb0="00040000" w:csb1="00000000"/>
    <w:embedRegular r:id="rId4" w:fontKey="{4EA259AC-0F75-4333-8251-F7F584D7F4E8}"/>
  </w:font>
  <w:font w:name="Arial Unicode MS">
    <w:altName w:val="宋体"/>
    <w:panose1 w:val="020B0604020202020204"/>
    <w:charset w:val="86"/>
    <w:family w:val="swiss"/>
    <w:pitch w:val="default"/>
    <w:sig w:usb0="00000000" w:usb1="00000000" w:usb2="0000003F" w:usb3="00000000" w:csb0="003F01FF" w:csb1="00000000"/>
  </w:font>
  <w:font w:name="楷体">
    <w:panose1 w:val="02010609060101010101"/>
    <w:charset w:val="86"/>
    <w:family w:val="modern"/>
    <w:pitch w:val="default"/>
    <w:sig w:usb0="800002BF" w:usb1="38CF7CFA" w:usb2="00000016" w:usb3="00000000" w:csb0="00040001" w:csb1="00000000"/>
    <w:embedRegular r:id="rId5" w:fontKey="{4E2B96C4-992C-4F4C-BC04-1B1EA8C52ECB}"/>
  </w:font>
  <w:font w:name="方正仿宋_GB2312">
    <w:altName w:val="仿宋"/>
    <w:panose1 w:val="02000000000000000000"/>
    <w:charset w:val="86"/>
    <w:family w:val="auto"/>
    <w:pitch w:val="default"/>
    <w:sig w:usb0="00000000" w:usb1="00000000" w:usb2="00000012" w:usb3="00000000" w:csb0="00040001" w:csb1="00000000"/>
  </w:font>
  <w:font w:name="仿宋">
    <w:panose1 w:val="02010609060101010101"/>
    <w:charset w:val="86"/>
    <w:family w:val="modern"/>
    <w:pitch w:val="default"/>
    <w:sig w:usb0="800002BF" w:usb1="38CF7CFA" w:usb2="00000016" w:usb3="00000000" w:csb0="00040001" w:csb1="00000000"/>
    <w:embedRegular r:id="rId6" w:fontKey="{4310F463-5387-4D3D-8F4B-28B455983375}"/>
  </w:font>
  <w:font w:name="华文中宋">
    <w:panose1 w:val="02010600040101010101"/>
    <w:charset w:val="86"/>
    <w:family w:val="auto"/>
    <w:pitch w:val="default"/>
    <w:sig w:usb0="00000287" w:usb1="080F0000" w:usb2="00000000" w:usb3="00000000" w:csb0="0004009F" w:csb1="DFD70000"/>
    <w:embedRegular r:id="rId7" w:fontKey="{CE6A575B-0FFA-47DB-B1A4-02D08F4E6F42}"/>
  </w:font>
  <w:font w:name="楷体_GB2312">
    <w:panose1 w:val="02010609030101010101"/>
    <w:charset w:val="86"/>
    <w:family w:val="modern"/>
    <w:pitch w:val="default"/>
    <w:sig w:usb0="00000001" w:usb1="080E0000" w:usb2="00000000" w:usb3="00000000" w:csb0="00040000" w:csb1="00000000"/>
    <w:embedRegular r:id="rId8" w:fontKey="{B03BE6D5-9E84-4843-8AE5-7DCFC8F17F2C}"/>
  </w:font>
  <w:font w:name="等线">
    <w:panose1 w:val="02010600030101010101"/>
    <w:charset w:val="86"/>
    <w:family w:val="auto"/>
    <w:pitch w:val="default"/>
    <w:sig w:usb0="A00002BF" w:usb1="38CF7CFA" w:usb2="00000016" w:usb3="00000000" w:csb0="0004000F" w:csb1="00000000"/>
    <w:embedRegular r:id="rId9" w:fontKey="{B11C60E0-3C75-4291-A77B-6D45A51C0634}"/>
  </w:font>
  <w:font w:name="Microsoft YaHei UI">
    <w:panose1 w:val="020B0503020204020204"/>
    <w:charset w:val="86"/>
    <w:family w:val="swiss"/>
    <w:pitch w:val="default"/>
    <w:sig w:usb0="80000287" w:usb1="2ACF3C50" w:usb2="00000016" w:usb3="00000000" w:csb0="0004001F" w:csb1="00000000"/>
    <w:embedRegular r:id="rId10" w:fontKey="{141D8DDB-0EE5-4A93-AC7D-756F86F99E77}"/>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rPr>
        <w:rFonts w:ascii="宋体" w:hAnsi="宋体" w:eastAsia="宋体"/>
        <w:sz w:val="28"/>
        <w:szCs w:val="28"/>
      </w:rPr>
    </w:pPr>
  </w:p>
  <w:p>
    <w:pPr>
      <w:pStyle w:val="9"/>
      <w:rPr>
        <w:rFonts w:ascii="宋体" w:hAnsi="宋体"/>
        <w:sz w:val="28"/>
        <w:szCs w:val="2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
    </w:sdtPr>
    <w:sdtEndPr>
      <w:rPr>
        <w:rFonts w:ascii="宋体" w:hAnsi="宋体" w:eastAsia="宋体"/>
        <w:sz w:val="28"/>
        <w:szCs w:val="28"/>
      </w:rPr>
    </w:sdtEndPr>
    <w:sdtContent>
      <w:p>
        <w:pPr>
          <w:pStyle w:val="9"/>
          <w:jc w:val="center"/>
          <w:rPr>
            <w:rFonts w:ascii="宋体" w:hAnsi="宋体" w:eastAsia="宋体"/>
            <w:sz w:val="28"/>
            <w:szCs w:val="28"/>
          </w:rPr>
        </w:pPr>
        <w:r>
          <w:rPr>
            <w:rFonts w:ascii="宋体" w:hAnsi="宋体" w:eastAsia="宋体"/>
            <w:sz w:val="28"/>
            <w:szCs w:val="28"/>
          </w:rPr>
          <w:fldChar w:fldCharType="begin"/>
        </w:r>
        <w:r>
          <w:rPr>
            <w:rFonts w:ascii="宋体" w:hAnsi="宋体" w:eastAsia="宋体"/>
            <w:sz w:val="28"/>
            <w:szCs w:val="28"/>
          </w:rPr>
          <w:instrText xml:space="preserve">PAGE   \* MERGEFORMAT</w:instrText>
        </w:r>
        <w:r>
          <w:rPr>
            <w:rFonts w:ascii="宋体" w:hAnsi="宋体" w:eastAsia="宋体"/>
            <w:sz w:val="28"/>
            <w:szCs w:val="28"/>
          </w:rPr>
          <w:fldChar w:fldCharType="separate"/>
        </w:r>
        <w:r>
          <w:rPr>
            <w:rFonts w:ascii="宋体" w:hAnsi="宋体" w:eastAsia="宋体"/>
            <w:sz w:val="28"/>
            <w:szCs w:val="28"/>
            <w:lang w:val="zh-CN"/>
          </w:rPr>
          <w:t>1</w:t>
        </w:r>
        <w:r>
          <w:rPr>
            <w:rFonts w:ascii="宋体" w:hAnsi="宋体" w:eastAsia="宋体"/>
            <w:sz w:val="28"/>
            <w:szCs w:val="28"/>
          </w:rPr>
          <w:fldChar w:fldCharType="end"/>
        </w:r>
      </w:p>
    </w:sdtContent>
  </w:sdt>
  <w:p>
    <w:pPr>
      <w:pStyle w:val="9"/>
      <w:rPr>
        <w:rFonts w:ascii="宋体" w:hAnsi="宋体"/>
        <w:sz w:val="28"/>
        <w:szCs w:val="2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4">
    <w:p>
      <w:r>
        <w:separator/>
      </w:r>
    </w:p>
  </w:footnote>
  <w:footnote w:type="continuationSeparator" w:id="5">
    <w:p>
      <w:r>
        <w:continuationSeparator/>
      </w:r>
    </w:p>
  </w:footnote>
  <w:footnote w:id="0">
    <w:p>
      <w:pPr>
        <w:pStyle w:val="12"/>
        <w:rPr>
          <w:rFonts w:ascii="仿宋_GB2312"/>
        </w:rPr>
      </w:pPr>
      <w:r>
        <w:rPr>
          <w:rStyle w:val="21"/>
          <w:rFonts w:hint="eastAsia" w:ascii="仿宋_GB2312"/>
        </w:rPr>
        <w:footnoteRef/>
      </w:r>
      <w:r>
        <w:rPr>
          <w:rFonts w:hint="eastAsia" w:ascii="仿宋_GB2312"/>
        </w:rPr>
        <w:t>结转结余资金变动率=[(年初)以前年度结转结余资金-(年末)以前年度结转结余资金)]/(年初)以前年度结转结余资金金额*100%。截至202</w:t>
      </w:r>
      <w:r>
        <w:rPr>
          <w:rFonts w:hint="eastAsia" w:ascii="仿宋_GB2312"/>
          <w:lang w:val="en-US" w:eastAsia="zh-CN"/>
        </w:rPr>
        <w:t>3</w:t>
      </w:r>
      <w:r>
        <w:rPr>
          <w:rFonts w:hint="eastAsia" w:ascii="仿宋_GB2312"/>
        </w:rPr>
        <w:t>年底，结转结余资金变动率=（</w:t>
      </w:r>
      <w:r>
        <w:rPr>
          <w:rFonts w:hint="eastAsia" w:ascii="仿宋_GB2312"/>
          <w:lang w:val="en-US" w:eastAsia="zh-CN"/>
        </w:rPr>
        <w:t>5189.74</w:t>
      </w:r>
      <w:r>
        <w:rPr>
          <w:rFonts w:hint="eastAsia" w:ascii="仿宋_GB2312"/>
        </w:rPr>
        <w:t>-</w:t>
      </w:r>
      <w:r>
        <w:rPr>
          <w:rFonts w:hint="eastAsia" w:ascii="仿宋_GB2312"/>
          <w:lang w:val="en-US" w:eastAsia="zh-CN"/>
        </w:rPr>
        <w:t>152.56</w:t>
      </w:r>
      <w:r>
        <w:rPr>
          <w:rFonts w:hint="eastAsia" w:ascii="仿宋_GB2312"/>
        </w:rPr>
        <w:t>）/</w:t>
      </w:r>
      <w:r>
        <w:rPr>
          <w:rFonts w:hint="eastAsia" w:ascii="仿宋_GB2312"/>
          <w:lang w:val="en-US" w:eastAsia="zh-CN"/>
        </w:rPr>
        <w:t>5189.74</w:t>
      </w:r>
      <w:r>
        <w:rPr>
          <w:rFonts w:hint="eastAsia" w:ascii="仿宋_GB2312"/>
        </w:rPr>
        <w:t>×100%=</w:t>
      </w:r>
      <w:r>
        <w:rPr>
          <w:rFonts w:hint="eastAsia" w:ascii="仿宋_GB2312"/>
          <w:lang w:val="en-US" w:eastAsia="zh-CN"/>
        </w:rPr>
        <w:t>97</w:t>
      </w:r>
      <w:r>
        <w:rPr>
          <w:rFonts w:hint="eastAsia" w:ascii="仿宋_GB2312"/>
        </w:rPr>
        <w:t>.</w:t>
      </w:r>
      <w:r>
        <w:rPr>
          <w:rFonts w:hint="eastAsia" w:ascii="仿宋_GB2312"/>
          <w:lang w:val="en-US" w:eastAsia="zh-CN"/>
        </w:rPr>
        <w:t>06</w:t>
      </w:r>
      <w:r>
        <w:rPr>
          <w:rFonts w:hint="eastAsia" w:ascii="仿宋_GB2312"/>
        </w:rPr>
        <w:t>%。</w:t>
      </w:r>
    </w:p>
  </w:footnote>
  <w:footnote w:id="1">
    <w:p>
      <w:pPr>
        <w:pStyle w:val="12"/>
        <w:rPr>
          <w:highlight w:val="none"/>
        </w:rPr>
      </w:pPr>
      <w:r>
        <w:rPr>
          <w:rStyle w:val="21"/>
          <w:rFonts w:hint="eastAsia" w:ascii="仿宋_GB2312"/>
        </w:rPr>
        <w:footnoteRef/>
      </w:r>
      <w:r>
        <w:rPr>
          <w:rFonts w:hint="eastAsia" w:ascii="仿宋_GB2312"/>
          <w:highlight w:val="none"/>
        </w:rPr>
        <w:t>成本控制率=（预算成本-合同成本）/预算成本*100%，即成本控制率=（</w:t>
      </w:r>
      <w:r>
        <w:rPr>
          <w:rFonts w:hint="eastAsia" w:ascii="仿宋_GB2312"/>
          <w:highlight w:val="none"/>
          <w:lang w:val="en-US" w:eastAsia="zh-CN"/>
        </w:rPr>
        <w:t>12671.5</w:t>
      </w:r>
      <w:r>
        <w:rPr>
          <w:rFonts w:hint="eastAsia" w:ascii="仿宋_GB2312"/>
          <w:highlight w:val="none"/>
        </w:rPr>
        <w:t>-</w:t>
      </w:r>
      <w:r>
        <w:rPr>
          <w:rFonts w:hint="eastAsia" w:ascii="仿宋_GB2312"/>
          <w:highlight w:val="none"/>
          <w:lang w:val="en-US" w:eastAsia="zh-CN"/>
        </w:rPr>
        <w:t>12239.502</w:t>
      </w:r>
      <w:r>
        <w:rPr>
          <w:rFonts w:hint="eastAsia" w:ascii="仿宋_GB2312"/>
          <w:highlight w:val="none"/>
        </w:rPr>
        <w:t>）/</w:t>
      </w:r>
      <w:r>
        <w:rPr>
          <w:rFonts w:hint="eastAsia" w:ascii="仿宋_GB2312"/>
          <w:highlight w:val="none"/>
          <w:lang w:val="en-US" w:eastAsia="zh-CN"/>
        </w:rPr>
        <w:t>12671.5</w:t>
      </w:r>
      <w:r>
        <w:rPr>
          <w:rFonts w:hint="eastAsia" w:ascii="仿宋_GB2312"/>
          <w:highlight w:val="none"/>
        </w:rPr>
        <w:t>×100%=</w:t>
      </w:r>
      <w:r>
        <w:rPr>
          <w:rFonts w:hint="eastAsia" w:ascii="仿宋_GB2312"/>
          <w:highlight w:val="none"/>
          <w:lang w:val="en-US" w:eastAsia="zh-CN"/>
        </w:rPr>
        <w:t>3.41</w:t>
      </w:r>
      <w:r>
        <w:rPr>
          <w:rFonts w:hint="eastAsia" w:ascii="仿宋_GB2312"/>
          <w:highlight w:val="none"/>
        </w:rPr>
        <w:t>%。</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4"/>
    <w:footnote w:id="5"/>
  </w:foot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2Y2NkZmJhNzU3NWNiN2U2MTJiNjMwMzViMDhhZWIifQ=="/>
  </w:docVars>
  <w:rsids>
    <w:rsidRoot w:val="00BF0C74"/>
    <w:rsid w:val="00002363"/>
    <w:rsid w:val="0000266F"/>
    <w:rsid w:val="000029A2"/>
    <w:rsid w:val="0000639C"/>
    <w:rsid w:val="00016E9B"/>
    <w:rsid w:val="00032BDD"/>
    <w:rsid w:val="00033625"/>
    <w:rsid w:val="00036A53"/>
    <w:rsid w:val="00045D1B"/>
    <w:rsid w:val="0004605A"/>
    <w:rsid w:val="000460F3"/>
    <w:rsid w:val="000477C9"/>
    <w:rsid w:val="00051117"/>
    <w:rsid w:val="00053DA5"/>
    <w:rsid w:val="00057B2C"/>
    <w:rsid w:val="0006127D"/>
    <w:rsid w:val="000637E5"/>
    <w:rsid w:val="00063F4B"/>
    <w:rsid w:val="0006725E"/>
    <w:rsid w:val="00076510"/>
    <w:rsid w:val="00076D07"/>
    <w:rsid w:val="000773D1"/>
    <w:rsid w:val="00080D80"/>
    <w:rsid w:val="000832F9"/>
    <w:rsid w:val="00083A57"/>
    <w:rsid w:val="00096AE8"/>
    <w:rsid w:val="00097376"/>
    <w:rsid w:val="00097ECE"/>
    <w:rsid w:val="000A3358"/>
    <w:rsid w:val="000A4080"/>
    <w:rsid w:val="000A51E2"/>
    <w:rsid w:val="000A5CDF"/>
    <w:rsid w:val="000B0C88"/>
    <w:rsid w:val="000B12B8"/>
    <w:rsid w:val="000B316F"/>
    <w:rsid w:val="000B6421"/>
    <w:rsid w:val="000B72C2"/>
    <w:rsid w:val="000C44B9"/>
    <w:rsid w:val="000C5292"/>
    <w:rsid w:val="000C629E"/>
    <w:rsid w:val="000D697E"/>
    <w:rsid w:val="000E782F"/>
    <w:rsid w:val="000F7935"/>
    <w:rsid w:val="001008F3"/>
    <w:rsid w:val="001017E9"/>
    <w:rsid w:val="00110497"/>
    <w:rsid w:val="00112CC1"/>
    <w:rsid w:val="00114884"/>
    <w:rsid w:val="001151DD"/>
    <w:rsid w:val="001160A8"/>
    <w:rsid w:val="001163FC"/>
    <w:rsid w:val="00116850"/>
    <w:rsid w:val="0011698E"/>
    <w:rsid w:val="00131C6E"/>
    <w:rsid w:val="00133993"/>
    <w:rsid w:val="00135EA9"/>
    <w:rsid w:val="00137CF4"/>
    <w:rsid w:val="00140958"/>
    <w:rsid w:val="00143EDF"/>
    <w:rsid w:val="00145985"/>
    <w:rsid w:val="00147E13"/>
    <w:rsid w:val="001513B3"/>
    <w:rsid w:val="00153E23"/>
    <w:rsid w:val="0015401D"/>
    <w:rsid w:val="001567CE"/>
    <w:rsid w:val="00156ACD"/>
    <w:rsid w:val="001575C0"/>
    <w:rsid w:val="0016011E"/>
    <w:rsid w:val="00165D90"/>
    <w:rsid w:val="001661DA"/>
    <w:rsid w:val="001678C0"/>
    <w:rsid w:val="00167ABB"/>
    <w:rsid w:val="0017018F"/>
    <w:rsid w:val="0017309B"/>
    <w:rsid w:val="00173E65"/>
    <w:rsid w:val="00180B61"/>
    <w:rsid w:val="00183634"/>
    <w:rsid w:val="0018667F"/>
    <w:rsid w:val="00187928"/>
    <w:rsid w:val="00191FAC"/>
    <w:rsid w:val="00193128"/>
    <w:rsid w:val="0019480D"/>
    <w:rsid w:val="00195425"/>
    <w:rsid w:val="00196A90"/>
    <w:rsid w:val="001A2047"/>
    <w:rsid w:val="001B197D"/>
    <w:rsid w:val="001B5702"/>
    <w:rsid w:val="001B7233"/>
    <w:rsid w:val="001C0459"/>
    <w:rsid w:val="001C1E2B"/>
    <w:rsid w:val="001C604A"/>
    <w:rsid w:val="001C67D1"/>
    <w:rsid w:val="001D24FE"/>
    <w:rsid w:val="001E65DF"/>
    <w:rsid w:val="001F653E"/>
    <w:rsid w:val="00200526"/>
    <w:rsid w:val="00200E7F"/>
    <w:rsid w:val="0020101A"/>
    <w:rsid w:val="0020170E"/>
    <w:rsid w:val="002034F0"/>
    <w:rsid w:val="00203FAF"/>
    <w:rsid w:val="00207C47"/>
    <w:rsid w:val="00214179"/>
    <w:rsid w:val="002164CA"/>
    <w:rsid w:val="00216837"/>
    <w:rsid w:val="00222C02"/>
    <w:rsid w:val="00224822"/>
    <w:rsid w:val="00232B66"/>
    <w:rsid w:val="002336A5"/>
    <w:rsid w:val="00234CD9"/>
    <w:rsid w:val="00236F19"/>
    <w:rsid w:val="002404D5"/>
    <w:rsid w:val="002408CD"/>
    <w:rsid w:val="00252819"/>
    <w:rsid w:val="002546FF"/>
    <w:rsid w:val="00255D12"/>
    <w:rsid w:val="00256068"/>
    <w:rsid w:val="00256F02"/>
    <w:rsid w:val="002641B7"/>
    <w:rsid w:val="00264D48"/>
    <w:rsid w:val="0027045E"/>
    <w:rsid w:val="002720F8"/>
    <w:rsid w:val="00276545"/>
    <w:rsid w:val="002872C0"/>
    <w:rsid w:val="00294650"/>
    <w:rsid w:val="00295B1B"/>
    <w:rsid w:val="00297713"/>
    <w:rsid w:val="002A5317"/>
    <w:rsid w:val="002A72FC"/>
    <w:rsid w:val="002B0AC6"/>
    <w:rsid w:val="002B0CDA"/>
    <w:rsid w:val="002B7096"/>
    <w:rsid w:val="002D04E9"/>
    <w:rsid w:val="002D071E"/>
    <w:rsid w:val="002D0D67"/>
    <w:rsid w:val="002D4943"/>
    <w:rsid w:val="002D5573"/>
    <w:rsid w:val="002D58FD"/>
    <w:rsid w:val="002D6EAC"/>
    <w:rsid w:val="002E0F31"/>
    <w:rsid w:val="002E2E66"/>
    <w:rsid w:val="002E4920"/>
    <w:rsid w:val="002E53BC"/>
    <w:rsid w:val="002E5449"/>
    <w:rsid w:val="00302193"/>
    <w:rsid w:val="00303E04"/>
    <w:rsid w:val="0031307A"/>
    <w:rsid w:val="00313743"/>
    <w:rsid w:val="00313F1D"/>
    <w:rsid w:val="003242A1"/>
    <w:rsid w:val="0032548D"/>
    <w:rsid w:val="00325E9C"/>
    <w:rsid w:val="00334567"/>
    <w:rsid w:val="00337A51"/>
    <w:rsid w:val="00337D1E"/>
    <w:rsid w:val="00343160"/>
    <w:rsid w:val="00346570"/>
    <w:rsid w:val="0035323D"/>
    <w:rsid w:val="00357D58"/>
    <w:rsid w:val="00360CEA"/>
    <w:rsid w:val="00361D67"/>
    <w:rsid w:val="00361E01"/>
    <w:rsid w:val="00363CE7"/>
    <w:rsid w:val="00364676"/>
    <w:rsid w:val="00366AFC"/>
    <w:rsid w:val="0037191D"/>
    <w:rsid w:val="0037329D"/>
    <w:rsid w:val="0037488B"/>
    <w:rsid w:val="00377A75"/>
    <w:rsid w:val="0038040B"/>
    <w:rsid w:val="0039707E"/>
    <w:rsid w:val="003A09A0"/>
    <w:rsid w:val="003A1644"/>
    <w:rsid w:val="003A3454"/>
    <w:rsid w:val="003A6A77"/>
    <w:rsid w:val="003B0C89"/>
    <w:rsid w:val="003B13A4"/>
    <w:rsid w:val="003B7462"/>
    <w:rsid w:val="003C2966"/>
    <w:rsid w:val="003C6CA2"/>
    <w:rsid w:val="003E0489"/>
    <w:rsid w:val="003E1A39"/>
    <w:rsid w:val="003E31C1"/>
    <w:rsid w:val="003E4085"/>
    <w:rsid w:val="003E4E3B"/>
    <w:rsid w:val="003E51E1"/>
    <w:rsid w:val="003E5959"/>
    <w:rsid w:val="003E5A47"/>
    <w:rsid w:val="003E641A"/>
    <w:rsid w:val="003E7D32"/>
    <w:rsid w:val="003F1FDB"/>
    <w:rsid w:val="003F4401"/>
    <w:rsid w:val="003F6D67"/>
    <w:rsid w:val="00403EE1"/>
    <w:rsid w:val="00410019"/>
    <w:rsid w:val="00410CAC"/>
    <w:rsid w:val="004122A5"/>
    <w:rsid w:val="00421E6E"/>
    <w:rsid w:val="00437536"/>
    <w:rsid w:val="00440B13"/>
    <w:rsid w:val="00441565"/>
    <w:rsid w:val="004443A4"/>
    <w:rsid w:val="00445D06"/>
    <w:rsid w:val="00446233"/>
    <w:rsid w:val="00450C75"/>
    <w:rsid w:val="004565F8"/>
    <w:rsid w:val="0045769A"/>
    <w:rsid w:val="00457EC7"/>
    <w:rsid w:val="00457F07"/>
    <w:rsid w:val="00461380"/>
    <w:rsid w:val="00466122"/>
    <w:rsid w:val="0046627C"/>
    <w:rsid w:val="00472063"/>
    <w:rsid w:val="004759ED"/>
    <w:rsid w:val="004773C4"/>
    <w:rsid w:val="00480B5A"/>
    <w:rsid w:val="00482CEE"/>
    <w:rsid w:val="004852AF"/>
    <w:rsid w:val="00490080"/>
    <w:rsid w:val="00494645"/>
    <w:rsid w:val="004969B9"/>
    <w:rsid w:val="0049735D"/>
    <w:rsid w:val="004A020F"/>
    <w:rsid w:val="004A1F23"/>
    <w:rsid w:val="004A61FA"/>
    <w:rsid w:val="004A6B8A"/>
    <w:rsid w:val="004B0DEC"/>
    <w:rsid w:val="004B199C"/>
    <w:rsid w:val="004B6285"/>
    <w:rsid w:val="004C6A96"/>
    <w:rsid w:val="004C705B"/>
    <w:rsid w:val="004C74BF"/>
    <w:rsid w:val="004D0E41"/>
    <w:rsid w:val="004D2A60"/>
    <w:rsid w:val="004E2C7E"/>
    <w:rsid w:val="004E5D5A"/>
    <w:rsid w:val="004F385C"/>
    <w:rsid w:val="004F4623"/>
    <w:rsid w:val="004F4C07"/>
    <w:rsid w:val="004F5C06"/>
    <w:rsid w:val="00502ED4"/>
    <w:rsid w:val="00513B21"/>
    <w:rsid w:val="00516722"/>
    <w:rsid w:val="00520075"/>
    <w:rsid w:val="005209C4"/>
    <w:rsid w:val="00526510"/>
    <w:rsid w:val="00532979"/>
    <w:rsid w:val="00535216"/>
    <w:rsid w:val="005430A2"/>
    <w:rsid w:val="005519ED"/>
    <w:rsid w:val="00551B4B"/>
    <w:rsid w:val="00574E07"/>
    <w:rsid w:val="00575DF6"/>
    <w:rsid w:val="00576285"/>
    <w:rsid w:val="0058424B"/>
    <w:rsid w:val="00584CE7"/>
    <w:rsid w:val="0059185A"/>
    <w:rsid w:val="00594B60"/>
    <w:rsid w:val="00595F44"/>
    <w:rsid w:val="005A4099"/>
    <w:rsid w:val="005A51B6"/>
    <w:rsid w:val="005A56C6"/>
    <w:rsid w:val="005A757B"/>
    <w:rsid w:val="005B1E86"/>
    <w:rsid w:val="005B2380"/>
    <w:rsid w:val="005B4144"/>
    <w:rsid w:val="005B7C54"/>
    <w:rsid w:val="005C23ED"/>
    <w:rsid w:val="005C2CAA"/>
    <w:rsid w:val="005C4BAF"/>
    <w:rsid w:val="005D3116"/>
    <w:rsid w:val="005D35AE"/>
    <w:rsid w:val="005E1A35"/>
    <w:rsid w:val="005E268F"/>
    <w:rsid w:val="005E48EB"/>
    <w:rsid w:val="006007D0"/>
    <w:rsid w:val="006037AD"/>
    <w:rsid w:val="00605F8C"/>
    <w:rsid w:val="00610DE5"/>
    <w:rsid w:val="00617036"/>
    <w:rsid w:val="0061741F"/>
    <w:rsid w:val="0062090E"/>
    <w:rsid w:val="006326D1"/>
    <w:rsid w:val="00632E54"/>
    <w:rsid w:val="006337FB"/>
    <w:rsid w:val="0063414C"/>
    <w:rsid w:val="00635C1A"/>
    <w:rsid w:val="00636B10"/>
    <w:rsid w:val="0064094E"/>
    <w:rsid w:val="006419CE"/>
    <w:rsid w:val="00645233"/>
    <w:rsid w:val="00647E93"/>
    <w:rsid w:val="006502B4"/>
    <w:rsid w:val="00651036"/>
    <w:rsid w:val="00657B05"/>
    <w:rsid w:val="006627CA"/>
    <w:rsid w:val="006701AA"/>
    <w:rsid w:val="00670659"/>
    <w:rsid w:val="00671033"/>
    <w:rsid w:val="00672C5A"/>
    <w:rsid w:val="00690E17"/>
    <w:rsid w:val="00693333"/>
    <w:rsid w:val="006936C7"/>
    <w:rsid w:val="006961F3"/>
    <w:rsid w:val="006A172C"/>
    <w:rsid w:val="006A174E"/>
    <w:rsid w:val="006A4F4E"/>
    <w:rsid w:val="006A764D"/>
    <w:rsid w:val="006A7CB5"/>
    <w:rsid w:val="006B432A"/>
    <w:rsid w:val="006B5FDB"/>
    <w:rsid w:val="006B6499"/>
    <w:rsid w:val="006B64F5"/>
    <w:rsid w:val="006B6F79"/>
    <w:rsid w:val="006C5F8A"/>
    <w:rsid w:val="006D5BE7"/>
    <w:rsid w:val="006D5DE1"/>
    <w:rsid w:val="006E0013"/>
    <w:rsid w:val="006E5FA1"/>
    <w:rsid w:val="006E7C7C"/>
    <w:rsid w:val="006F0969"/>
    <w:rsid w:val="006F2B7F"/>
    <w:rsid w:val="006F5BD4"/>
    <w:rsid w:val="006F5C06"/>
    <w:rsid w:val="006F7280"/>
    <w:rsid w:val="007024AD"/>
    <w:rsid w:val="0070304C"/>
    <w:rsid w:val="00706569"/>
    <w:rsid w:val="00715C70"/>
    <w:rsid w:val="00716B50"/>
    <w:rsid w:val="0071799B"/>
    <w:rsid w:val="00717DE7"/>
    <w:rsid w:val="00720969"/>
    <w:rsid w:val="00725933"/>
    <w:rsid w:val="00733AA4"/>
    <w:rsid w:val="0074238B"/>
    <w:rsid w:val="00743AFA"/>
    <w:rsid w:val="00751529"/>
    <w:rsid w:val="0075174E"/>
    <w:rsid w:val="00752580"/>
    <w:rsid w:val="00757741"/>
    <w:rsid w:val="00765D83"/>
    <w:rsid w:val="00767412"/>
    <w:rsid w:val="007742BA"/>
    <w:rsid w:val="00774D2A"/>
    <w:rsid w:val="007767D8"/>
    <w:rsid w:val="00783508"/>
    <w:rsid w:val="00783A92"/>
    <w:rsid w:val="00785513"/>
    <w:rsid w:val="007A19FC"/>
    <w:rsid w:val="007A3A18"/>
    <w:rsid w:val="007B2250"/>
    <w:rsid w:val="007C0273"/>
    <w:rsid w:val="007C2CF0"/>
    <w:rsid w:val="007C5150"/>
    <w:rsid w:val="007C5CD0"/>
    <w:rsid w:val="007D4BF7"/>
    <w:rsid w:val="007D5B6E"/>
    <w:rsid w:val="007E1C90"/>
    <w:rsid w:val="007E34E0"/>
    <w:rsid w:val="007E5FD9"/>
    <w:rsid w:val="007E732C"/>
    <w:rsid w:val="007F182F"/>
    <w:rsid w:val="007F1B0A"/>
    <w:rsid w:val="007F2C06"/>
    <w:rsid w:val="007F3C66"/>
    <w:rsid w:val="007F3E9A"/>
    <w:rsid w:val="00803428"/>
    <w:rsid w:val="00815BD3"/>
    <w:rsid w:val="00816384"/>
    <w:rsid w:val="00822913"/>
    <w:rsid w:val="00823314"/>
    <w:rsid w:val="00824B0B"/>
    <w:rsid w:val="00826AE9"/>
    <w:rsid w:val="00827744"/>
    <w:rsid w:val="00836D84"/>
    <w:rsid w:val="00843775"/>
    <w:rsid w:val="00847F4B"/>
    <w:rsid w:val="00850CAC"/>
    <w:rsid w:val="00852E45"/>
    <w:rsid w:val="00861A39"/>
    <w:rsid w:val="008724F4"/>
    <w:rsid w:val="00880530"/>
    <w:rsid w:val="0088099E"/>
    <w:rsid w:val="008842EB"/>
    <w:rsid w:val="008A3334"/>
    <w:rsid w:val="008A34BB"/>
    <w:rsid w:val="008A4A73"/>
    <w:rsid w:val="008B0E70"/>
    <w:rsid w:val="008C3FA2"/>
    <w:rsid w:val="008C43D4"/>
    <w:rsid w:val="008D1E21"/>
    <w:rsid w:val="008E1C7E"/>
    <w:rsid w:val="008E2093"/>
    <w:rsid w:val="008E2AFF"/>
    <w:rsid w:val="008E783E"/>
    <w:rsid w:val="008F2048"/>
    <w:rsid w:val="008F5471"/>
    <w:rsid w:val="00901589"/>
    <w:rsid w:val="00904290"/>
    <w:rsid w:val="00906B87"/>
    <w:rsid w:val="00910CFB"/>
    <w:rsid w:val="00911471"/>
    <w:rsid w:val="009114C4"/>
    <w:rsid w:val="00912681"/>
    <w:rsid w:val="009149EF"/>
    <w:rsid w:val="00921D15"/>
    <w:rsid w:val="00923550"/>
    <w:rsid w:val="009253E2"/>
    <w:rsid w:val="00925785"/>
    <w:rsid w:val="0092584E"/>
    <w:rsid w:val="00926F42"/>
    <w:rsid w:val="009312A7"/>
    <w:rsid w:val="009320D9"/>
    <w:rsid w:val="009323B9"/>
    <w:rsid w:val="009342DC"/>
    <w:rsid w:val="00934B9B"/>
    <w:rsid w:val="009359FB"/>
    <w:rsid w:val="00937C85"/>
    <w:rsid w:val="00946336"/>
    <w:rsid w:val="00952730"/>
    <w:rsid w:val="00953049"/>
    <w:rsid w:val="00966197"/>
    <w:rsid w:val="00971144"/>
    <w:rsid w:val="0097440C"/>
    <w:rsid w:val="00980812"/>
    <w:rsid w:val="0098102B"/>
    <w:rsid w:val="00994DA2"/>
    <w:rsid w:val="009960D2"/>
    <w:rsid w:val="009A0696"/>
    <w:rsid w:val="009A41B6"/>
    <w:rsid w:val="009A43FB"/>
    <w:rsid w:val="009A480A"/>
    <w:rsid w:val="009A6FA4"/>
    <w:rsid w:val="009A7363"/>
    <w:rsid w:val="009B3827"/>
    <w:rsid w:val="009C173C"/>
    <w:rsid w:val="009C2B4E"/>
    <w:rsid w:val="009C40E0"/>
    <w:rsid w:val="009C491F"/>
    <w:rsid w:val="009C6578"/>
    <w:rsid w:val="009D4E32"/>
    <w:rsid w:val="009D790F"/>
    <w:rsid w:val="009E53B7"/>
    <w:rsid w:val="009E56FE"/>
    <w:rsid w:val="009E6D7C"/>
    <w:rsid w:val="009F148A"/>
    <w:rsid w:val="009F1C4F"/>
    <w:rsid w:val="009F1ED3"/>
    <w:rsid w:val="009F2D6D"/>
    <w:rsid w:val="009F73D4"/>
    <w:rsid w:val="00A004F2"/>
    <w:rsid w:val="00A04372"/>
    <w:rsid w:val="00A04D42"/>
    <w:rsid w:val="00A0500C"/>
    <w:rsid w:val="00A1099F"/>
    <w:rsid w:val="00A17E55"/>
    <w:rsid w:val="00A20480"/>
    <w:rsid w:val="00A213FE"/>
    <w:rsid w:val="00A23D79"/>
    <w:rsid w:val="00A30149"/>
    <w:rsid w:val="00A36A84"/>
    <w:rsid w:val="00A37076"/>
    <w:rsid w:val="00A47345"/>
    <w:rsid w:val="00A50FB5"/>
    <w:rsid w:val="00A53538"/>
    <w:rsid w:val="00A54387"/>
    <w:rsid w:val="00A600D5"/>
    <w:rsid w:val="00A6241B"/>
    <w:rsid w:val="00A67C6B"/>
    <w:rsid w:val="00A702C5"/>
    <w:rsid w:val="00A714AC"/>
    <w:rsid w:val="00A72931"/>
    <w:rsid w:val="00A75786"/>
    <w:rsid w:val="00A82728"/>
    <w:rsid w:val="00A8348D"/>
    <w:rsid w:val="00A86502"/>
    <w:rsid w:val="00A92BD8"/>
    <w:rsid w:val="00A932B7"/>
    <w:rsid w:val="00A94408"/>
    <w:rsid w:val="00A97B0E"/>
    <w:rsid w:val="00AA5B3B"/>
    <w:rsid w:val="00AA6AEE"/>
    <w:rsid w:val="00AB03DC"/>
    <w:rsid w:val="00AB16E6"/>
    <w:rsid w:val="00AB1F77"/>
    <w:rsid w:val="00AB2D9A"/>
    <w:rsid w:val="00AB5DF0"/>
    <w:rsid w:val="00AC5ED1"/>
    <w:rsid w:val="00AC683D"/>
    <w:rsid w:val="00AD0EA0"/>
    <w:rsid w:val="00AD0F25"/>
    <w:rsid w:val="00AD155D"/>
    <w:rsid w:val="00AD1703"/>
    <w:rsid w:val="00AD23B3"/>
    <w:rsid w:val="00AD551A"/>
    <w:rsid w:val="00AE1B92"/>
    <w:rsid w:val="00AE3B75"/>
    <w:rsid w:val="00AE4514"/>
    <w:rsid w:val="00AE4AF2"/>
    <w:rsid w:val="00AE4CFD"/>
    <w:rsid w:val="00AF0C17"/>
    <w:rsid w:val="00AF25EC"/>
    <w:rsid w:val="00AF2E19"/>
    <w:rsid w:val="00AF5652"/>
    <w:rsid w:val="00AF6F2B"/>
    <w:rsid w:val="00AF73D0"/>
    <w:rsid w:val="00AF796D"/>
    <w:rsid w:val="00B0119F"/>
    <w:rsid w:val="00B01CC9"/>
    <w:rsid w:val="00B032D0"/>
    <w:rsid w:val="00B14EC7"/>
    <w:rsid w:val="00B1721F"/>
    <w:rsid w:val="00B17BAA"/>
    <w:rsid w:val="00B17E7F"/>
    <w:rsid w:val="00B225FD"/>
    <w:rsid w:val="00B22FC0"/>
    <w:rsid w:val="00B238E2"/>
    <w:rsid w:val="00B24376"/>
    <w:rsid w:val="00B305FB"/>
    <w:rsid w:val="00B32025"/>
    <w:rsid w:val="00B3229C"/>
    <w:rsid w:val="00B33861"/>
    <w:rsid w:val="00B35E95"/>
    <w:rsid w:val="00B407B9"/>
    <w:rsid w:val="00B41BB0"/>
    <w:rsid w:val="00B42709"/>
    <w:rsid w:val="00B43504"/>
    <w:rsid w:val="00B4461A"/>
    <w:rsid w:val="00B44BE4"/>
    <w:rsid w:val="00B53D3E"/>
    <w:rsid w:val="00B607DA"/>
    <w:rsid w:val="00B627E3"/>
    <w:rsid w:val="00B659BA"/>
    <w:rsid w:val="00B66C64"/>
    <w:rsid w:val="00B675DE"/>
    <w:rsid w:val="00B705A8"/>
    <w:rsid w:val="00B71119"/>
    <w:rsid w:val="00B71BAB"/>
    <w:rsid w:val="00B72309"/>
    <w:rsid w:val="00B744C0"/>
    <w:rsid w:val="00B751FE"/>
    <w:rsid w:val="00B916A7"/>
    <w:rsid w:val="00B91C6D"/>
    <w:rsid w:val="00BA16AF"/>
    <w:rsid w:val="00BA1B63"/>
    <w:rsid w:val="00BA1E53"/>
    <w:rsid w:val="00BB6389"/>
    <w:rsid w:val="00BC36BD"/>
    <w:rsid w:val="00BD019C"/>
    <w:rsid w:val="00BE521A"/>
    <w:rsid w:val="00BE718C"/>
    <w:rsid w:val="00BF0C74"/>
    <w:rsid w:val="00BF10BA"/>
    <w:rsid w:val="00BF7939"/>
    <w:rsid w:val="00C05A1E"/>
    <w:rsid w:val="00C10194"/>
    <w:rsid w:val="00C11789"/>
    <w:rsid w:val="00C12282"/>
    <w:rsid w:val="00C134AC"/>
    <w:rsid w:val="00C16CD8"/>
    <w:rsid w:val="00C23D17"/>
    <w:rsid w:val="00C25A22"/>
    <w:rsid w:val="00C260FA"/>
    <w:rsid w:val="00C31BF6"/>
    <w:rsid w:val="00C356BC"/>
    <w:rsid w:val="00C35F2F"/>
    <w:rsid w:val="00C41F96"/>
    <w:rsid w:val="00C45D0F"/>
    <w:rsid w:val="00C46AA6"/>
    <w:rsid w:val="00C47BED"/>
    <w:rsid w:val="00C5115A"/>
    <w:rsid w:val="00C53300"/>
    <w:rsid w:val="00C564D6"/>
    <w:rsid w:val="00C565A7"/>
    <w:rsid w:val="00C618C6"/>
    <w:rsid w:val="00C619F2"/>
    <w:rsid w:val="00C61D54"/>
    <w:rsid w:val="00C70D14"/>
    <w:rsid w:val="00C73AFF"/>
    <w:rsid w:val="00C74EA6"/>
    <w:rsid w:val="00C818D5"/>
    <w:rsid w:val="00C90AFD"/>
    <w:rsid w:val="00C9298B"/>
    <w:rsid w:val="00C9331E"/>
    <w:rsid w:val="00CA1975"/>
    <w:rsid w:val="00CA57ED"/>
    <w:rsid w:val="00CA5BDB"/>
    <w:rsid w:val="00CA607B"/>
    <w:rsid w:val="00CA7C8F"/>
    <w:rsid w:val="00CB60F2"/>
    <w:rsid w:val="00CB7917"/>
    <w:rsid w:val="00CC45C0"/>
    <w:rsid w:val="00CD5786"/>
    <w:rsid w:val="00CD5936"/>
    <w:rsid w:val="00CD7FB9"/>
    <w:rsid w:val="00CE036C"/>
    <w:rsid w:val="00CE578D"/>
    <w:rsid w:val="00CF369D"/>
    <w:rsid w:val="00CF498F"/>
    <w:rsid w:val="00CF5C9E"/>
    <w:rsid w:val="00D071C3"/>
    <w:rsid w:val="00D138D9"/>
    <w:rsid w:val="00D16330"/>
    <w:rsid w:val="00D16CF3"/>
    <w:rsid w:val="00D2316D"/>
    <w:rsid w:val="00D24C8A"/>
    <w:rsid w:val="00D26996"/>
    <w:rsid w:val="00D31CEC"/>
    <w:rsid w:val="00D34257"/>
    <w:rsid w:val="00D34FE7"/>
    <w:rsid w:val="00D47AFA"/>
    <w:rsid w:val="00D50420"/>
    <w:rsid w:val="00D53E61"/>
    <w:rsid w:val="00D63E88"/>
    <w:rsid w:val="00D66D8C"/>
    <w:rsid w:val="00D7219C"/>
    <w:rsid w:val="00D72642"/>
    <w:rsid w:val="00D72B25"/>
    <w:rsid w:val="00D730C6"/>
    <w:rsid w:val="00D74CC5"/>
    <w:rsid w:val="00D8195F"/>
    <w:rsid w:val="00D8570F"/>
    <w:rsid w:val="00D96461"/>
    <w:rsid w:val="00D966A5"/>
    <w:rsid w:val="00D96F4A"/>
    <w:rsid w:val="00D9787E"/>
    <w:rsid w:val="00DA065B"/>
    <w:rsid w:val="00DA229B"/>
    <w:rsid w:val="00DA786E"/>
    <w:rsid w:val="00DA7FB2"/>
    <w:rsid w:val="00DB17C2"/>
    <w:rsid w:val="00DB2502"/>
    <w:rsid w:val="00DB261D"/>
    <w:rsid w:val="00DB7C87"/>
    <w:rsid w:val="00DC5428"/>
    <w:rsid w:val="00DC7850"/>
    <w:rsid w:val="00DD17F7"/>
    <w:rsid w:val="00DD1B59"/>
    <w:rsid w:val="00DD4198"/>
    <w:rsid w:val="00DD60E0"/>
    <w:rsid w:val="00DD76F5"/>
    <w:rsid w:val="00DE3603"/>
    <w:rsid w:val="00DF7DFB"/>
    <w:rsid w:val="00E01F4C"/>
    <w:rsid w:val="00E129C7"/>
    <w:rsid w:val="00E13718"/>
    <w:rsid w:val="00E13AF5"/>
    <w:rsid w:val="00E13F1C"/>
    <w:rsid w:val="00E14A6B"/>
    <w:rsid w:val="00E16798"/>
    <w:rsid w:val="00E17784"/>
    <w:rsid w:val="00E20281"/>
    <w:rsid w:val="00E2146B"/>
    <w:rsid w:val="00E22B2B"/>
    <w:rsid w:val="00E252EC"/>
    <w:rsid w:val="00E31AE3"/>
    <w:rsid w:val="00E32831"/>
    <w:rsid w:val="00E35434"/>
    <w:rsid w:val="00E3592F"/>
    <w:rsid w:val="00E37396"/>
    <w:rsid w:val="00E4643F"/>
    <w:rsid w:val="00E52B1D"/>
    <w:rsid w:val="00E57782"/>
    <w:rsid w:val="00E67659"/>
    <w:rsid w:val="00E70EDE"/>
    <w:rsid w:val="00E71A49"/>
    <w:rsid w:val="00E724C7"/>
    <w:rsid w:val="00E768A8"/>
    <w:rsid w:val="00E7726B"/>
    <w:rsid w:val="00E77950"/>
    <w:rsid w:val="00E979E0"/>
    <w:rsid w:val="00EA7A23"/>
    <w:rsid w:val="00EC1E61"/>
    <w:rsid w:val="00ED4107"/>
    <w:rsid w:val="00ED588E"/>
    <w:rsid w:val="00ED596F"/>
    <w:rsid w:val="00ED69FE"/>
    <w:rsid w:val="00EE0983"/>
    <w:rsid w:val="00EE22B2"/>
    <w:rsid w:val="00EE47A8"/>
    <w:rsid w:val="00EE4C69"/>
    <w:rsid w:val="00EF2D93"/>
    <w:rsid w:val="00F01974"/>
    <w:rsid w:val="00F01FE0"/>
    <w:rsid w:val="00F02598"/>
    <w:rsid w:val="00F03830"/>
    <w:rsid w:val="00F1107F"/>
    <w:rsid w:val="00F14523"/>
    <w:rsid w:val="00F15024"/>
    <w:rsid w:val="00F17124"/>
    <w:rsid w:val="00F20A8C"/>
    <w:rsid w:val="00F21048"/>
    <w:rsid w:val="00F279C6"/>
    <w:rsid w:val="00F27B72"/>
    <w:rsid w:val="00F30BA0"/>
    <w:rsid w:val="00F3180D"/>
    <w:rsid w:val="00F37D14"/>
    <w:rsid w:val="00F407A7"/>
    <w:rsid w:val="00F44ACE"/>
    <w:rsid w:val="00F46D4B"/>
    <w:rsid w:val="00F47CA5"/>
    <w:rsid w:val="00F51E30"/>
    <w:rsid w:val="00F535A0"/>
    <w:rsid w:val="00F56308"/>
    <w:rsid w:val="00F60784"/>
    <w:rsid w:val="00F62924"/>
    <w:rsid w:val="00F741E5"/>
    <w:rsid w:val="00F74F1C"/>
    <w:rsid w:val="00F77BF3"/>
    <w:rsid w:val="00F814EA"/>
    <w:rsid w:val="00F814EB"/>
    <w:rsid w:val="00F81A77"/>
    <w:rsid w:val="00F8405F"/>
    <w:rsid w:val="00F86EF2"/>
    <w:rsid w:val="00F91B3F"/>
    <w:rsid w:val="00F91C90"/>
    <w:rsid w:val="00F929A5"/>
    <w:rsid w:val="00F944E9"/>
    <w:rsid w:val="00F955E5"/>
    <w:rsid w:val="00FA0025"/>
    <w:rsid w:val="00FA14EA"/>
    <w:rsid w:val="00FA4BA3"/>
    <w:rsid w:val="00FB78D8"/>
    <w:rsid w:val="00FC3278"/>
    <w:rsid w:val="00FC3ACE"/>
    <w:rsid w:val="00FC4C51"/>
    <w:rsid w:val="00FC57C1"/>
    <w:rsid w:val="00FC5E8A"/>
    <w:rsid w:val="00FD07AD"/>
    <w:rsid w:val="00FD0E0C"/>
    <w:rsid w:val="00FD1A53"/>
    <w:rsid w:val="00FD1D4E"/>
    <w:rsid w:val="00FD3026"/>
    <w:rsid w:val="00FD5137"/>
    <w:rsid w:val="00FE03E6"/>
    <w:rsid w:val="00FE2D8B"/>
    <w:rsid w:val="00FF5931"/>
    <w:rsid w:val="00FF620B"/>
    <w:rsid w:val="00FF6515"/>
    <w:rsid w:val="00FF7D62"/>
    <w:rsid w:val="01AA567A"/>
    <w:rsid w:val="01DF304C"/>
    <w:rsid w:val="01FA6D8B"/>
    <w:rsid w:val="0215651C"/>
    <w:rsid w:val="028403C7"/>
    <w:rsid w:val="03D270B5"/>
    <w:rsid w:val="04762137"/>
    <w:rsid w:val="05B10F5C"/>
    <w:rsid w:val="06073151"/>
    <w:rsid w:val="06377DDA"/>
    <w:rsid w:val="076D6CD9"/>
    <w:rsid w:val="078D25C7"/>
    <w:rsid w:val="07C02047"/>
    <w:rsid w:val="086B7960"/>
    <w:rsid w:val="086C1887"/>
    <w:rsid w:val="0A2D5046"/>
    <w:rsid w:val="0C8A32FD"/>
    <w:rsid w:val="0CB67574"/>
    <w:rsid w:val="0E737AC2"/>
    <w:rsid w:val="0F4E7F38"/>
    <w:rsid w:val="0F8E6C38"/>
    <w:rsid w:val="10BC7123"/>
    <w:rsid w:val="11747199"/>
    <w:rsid w:val="11976187"/>
    <w:rsid w:val="130C25E4"/>
    <w:rsid w:val="138D144A"/>
    <w:rsid w:val="13B917B2"/>
    <w:rsid w:val="13C26E3B"/>
    <w:rsid w:val="13DA623E"/>
    <w:rsid w:val="15803BCA"/>
    <w:rsid w:val="15B72FFB"/>
    <w:rsid w:val="173D7210"/>
    <w:rsid w:val="183A72AB"/>
    <w:rsid w:val="18A64B35"/>
    <w:rsid w:val="18E30CC6"/>
    <w:rsid w:val="19003785"/>
    <w:rsid w:val="19FA30D7"/>
    <w:rsid w:val="1A9F3D3E"/>
    <w:rsid w:val="1AED07A2"/>
    <w:rsid w:val="1B1F0B0A"/>
    <w:rsid w:val="1C022DE8"/>
    <w:rsid w:val="1C940F54"/>
    <w:rsid w:val="1C9553F8"/>
    <w:rsid w:val="1D5F133D"/>
    <w:rsid w:val="1E424DF6"/>
    <w:rsid w:val="20E93F65"/>
    <w:rsid w:val="21505D92"/>
    <w:rsid w:val="22F4099D"/>
    <w:rsid w:val="22FD7853"/>
    <w:rsid w:val="23960098"/>
    <w:rsid w:val="248D10AB"/>
    <w:rsid w:val="255E785B"/>
    <w:rsid w:val="263C2A79"/>
    <w:rsid w:val="279DFBD1"/>
    <w:rsid w:val="27A96F08"/>
    <w:rsid w:val="27D63BDC"/>
    <w:rsid w:val="2B350611"/>
    <w:rsid w:val="2C65261C"/>
    <w:rsid w:val="2D2D2C1E"/>
    <w:rsid w:val="2EC916C3"/>
    <w:rsid w:val="2EC91AAC"/>
    <w:rsid w:val="2FFD5337"/>
    <w:rsid w:val="31FE4CFC"/>
    <w:rsid w:val="32230DC6"/>
    <w:rsid w:val="36B91571"/>
    <w:rsid w:val="385900C5"/>
    <w:rsid w:val="3AF618AB"/>
    <w:rsid w:val="3B1BFF04"/>
    <w:rsid w:val="3D7E1A40"/>
    <w:rsid w:val="3DB30EF7"/>
    <w:rsid w:val="3DDF983E"/>
    <w:rsid w:val="3DEB18D3"/>
    <w:rsid w:val="3E042A1A"/>
    <w:rsid w:val="3E3FA94F"/>
    <w:rsid w:val="3FDE7367"/>
    <w:rsid w:val="3FF33193"/>
    <w:rsid w:val="413761CE"/>
    <w:rsid w:val="43AA6C2F"/>
    <w:rsid w:val="43F7EC95"/>
    <w:rsid w:val="456F41DC"/>
    <w:rsid w:val="45B63B66"/>
    <w:rsid w:val="45DB4604"/>
    <w:rsid w:val="45F91CA4"/>
    <w:rsid w:val="489849D6"/>
    <w:rsid w:val="49767906"/>
    <w:rsid w:val="49CF169A"/>
    <w:rsid w:val="4B6B7874"/>
    <w:rsid w:val="4B810772"/>
    <w:rsid w:val="4CA3493B"/>
    <w:rsid w:val="500431E5"/>
    <w:rsid w:val="51547CEE"/>
    <w:rsid w:val="51815335"/>
    <w:rsid w:val="51BA49DE"/>
    <w:rsid w:val="51C60C63"/>
    <w:rsid w:val="5222272C"/>
    <w:rsid w:val="534529CD"/>
    <w:rsid w:val="538369FF"/>
    <w:rsid w:val="54045B6A"/>
    <w:rsid w:val="541B4E46"/>
    <w:rsid w:val="547B4ABC"/>
    <w:rsid w:val="55A00B58"/>
    <w:rsid w:val="56C52C9F"/>
    <w:rsid w:val="58E07AA6"/>
    <w:rsid w:val="59941063"/>
    <w:rsid w:val="59BB1B0D"/>
    <w:rsid w:val="59F11964"/>
    <w:rsid w:val="5CF37690"/>
    <w:rsid w:val="5DC0337C"/>
    <w:rsid w:val="5DF37B52"/>
    <w:rsid w:val="5E03182B"/>
    <w:rsid w:val="5E3C1A4F"/>
    <w:rsid w:val="5EB033F0"/>
    <w:rsid w:val="5ECF4A98"/>
    <w:rsid w:val="5F560BB9"/>
    <w:rsid w:val="61695AD8"/>
    <w:rsid w:val="621C2B4B"/>
    <w:rsid w:val="62662590"/>
    <w:rsid w:val="62712158"/>
    <w:rsid w:val="62CE653B"/>
    <w:rsid w:val="62FB7442"/>
    <w:rsid w:val="63094DEC"/>
    <w:rsid w:val="638D5C5B"/>
    <w:rsid w:val="63ED268F"/>
    <w:rsid w:val="647B17DD"/>
    <w:rsid w:val="647E189B"/>
    <w:rsid w:val="648D7D30"/>
    <w:rsid w:val="6616518A"/>
    <w:rsid w:val="6711429E"/>
    <w:rsid w:val="6747066A"/>
    <w:rsid w:val="67AA45EC"/>
    <w:rsid w:val="67CB7DB0"/>
    <w:rsid w:val="67D51ED2"/>
    <w:rsid w:val="680B54B5"/>
    <w:rsid w:val="680C53A1"/>
    <w:rsid w:val="69E25DDE"/>
    <w:rsid w:val="69E61EBF"/>
    <w:rsid w:val="6A7F0F0D"/>
    <w:rsid w:val="6D1F4591"/>
    <w:rsid w:val="6D5B3CA2"/>
    <w:rsid w:val="6D6830E8"/>
    <w:rsid w:val="6DDD1CFB"/>
    <w:rsid w:val="6DFF2910"/>
    <w:rsid w:val="703D260A"/>
    <w:rsid w:val="70912956"/>
    <w:rsid w:val="727D5888"/>
    <w:rsid w:val="72E476B5"/>
    <w:rsid w:val="73247AB1"/>
    <w:rsid w:val="7487237C"/>
    <w:rsid w:val="76A77394"/>
    <w:rsid w:val="76AE6032"/>
    <w:rsid w:val="77FF2917"/>
    <w:rsid w:val="781B0262"/>
    <w:rsid w:val="782B3690"/>
    <w:rsid w:val="79CA528B"/>
    <w:rsid w:val="7A3D0D70"/>
    <w:rsid w:val="7A5E7FD9"/>
    <w:rsid w:val="7B3B1E3C"/>
    <w:rsid w:val="7B3F0D4F"/>
    <w:rsid w:val="7B9F20F1"/>
    <w:rsid w:val="7D0C5245"/>
    <w:rsid w:val="7D77F4C5"/>
    <w:rsid w:val="7F7304F1"/>
    <w:rsid w:val="7F7B5192"/>
    <w:rsid w:val="7F7BD36F"/>
    <w:rsid w:val="7F977441"/>
    <w:rsid w:val="9FA70EF1"/>
    <w:rsid w:val="BFFC34EC"/>
    <w:rsid w:val="DCAF0E25"/>
    <w:rsid w:val="DDFF1D35"/>
    <w:rsid w:val="DF7FA389"/>
    <w:rsid w:val="ED3FF8BA"/>
    <w:rsid w:val="EFB15A03"/>
    <w:rsid w:val="F57E2107"/>
    <w:rsid w:val="F6AC5A54"/>
    <w:rsid w:val="F7FFA014"/>
    <w:rsid w:val="FEFE62E2"/>
    <w:rsid w:val="FFE14E3D"/>
    <w:rsid w:val="FFE7CB7E"/>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semiHidden="0"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仿宋_GB2312" w:cs="Times New Roman"/>
      <w:kern w:val="2"/>
      <w:sz w:val="30"/>
      <w:szCs w:val="24"/>
      <w:lang w:val="en-US" w:eastAsia="zh-CN" w:bidi="ar-SA"/>
    </w:rPr>
  </w:style>
  <w:style w:type="paragraph" w:styleId="2">
    <w:name w:val="heading 1"/>
    <w:basedOn w:val="1"/>
    <w:next w:val="1"/>
    <w:link w:val="27"/>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26"/>
    <w:autoRedefine/>
    <w:qFormat/>
    <w:uiPriority w:val="0"/>
    <w:pPr>
      <w:keepNext/>
      <w:keepLines/>
      <w:spacing w:before="260" w:after="260" w:line="416" w:lineRule="auto"/>
      <w:outlineLvl w:val="1"/>
    </w:pPr>
    <w:rPr>
      <w:rFonts w:ascii="Arial" w:hAnsi="Arial" w:eastAsia="黑体" w:cs="Arial"/>
      <w:b/>
      <w:bCs/>
      <w:sz w:val="32"/>
      <w:szCs w:val="32"/>
    </w:rPr>
  </w:style>
  <w:style w:type="character" w:default="1" w:styleId="17">
    <w:name w:val="Default Paragraph Font"/>
    <w:autoRedefine/>
    <w:semiHidden/>
    <w:unhideWhenUsed/>
    <w:qFormat/>
    <w:uiPriority w:val="1"/>
  </w:style>
  <w:style w:type="table" w:default="1" w:styleId="16">
    <w:name w:val="Normal Table"/>
    <w:autoRedefine/>
    <w:semiHidden/>
    <w:unhideWhenUsed/>
    <w:qFormat/>
    <w:uiPriority w:val="99"/>
    <w:tblPr>
      <w:tblCellMar>
        <w:top w:w="0" w:type="dxa"/>
        <w:left w:w="108" w:type="dxa"/>
        <w:bottom w:w="0" w:type="dxa"/>
        <w:right w:w="108" w:type="dxa"/>
      </w:tblCellMar>
    </w:tblPr>
  </w:style>
  <w:style w:type="paragraph" w:styleId="4">
    <w:name w:val="Document Map"/>
    <w:basedOn w:val="1"/>
    <w:link w:val="34"/>
    <w:autoRedefine/>
    <w:semiHidden/>
    <w:unhideWhenUsed/>
    <w:qFormat/>
    <w:uiPriority w:val="99"/>
    <w:rPr>
      <w:rFonts w:ascii="宋体" w:eastAsia="宋体"/>
      <w:sz w:val="18"/>
      <w:szCs w:val="18"/>
    </w:rPr>
  </w:style>
  <w:style w:type="paragraph" w:styleId="5">
    <w:name w:val="annotation text"/>
    <w:basedOn w:val="1"/>
    <w:link w:val="31"/>
    <w:autoRedefine/>
    <w:semiHidden/>
    <w:unhideWhenUsed/>
    <w:qFormat/>
    <w:uiPriority w:val="99"/>
    <w:pPr>
      <w:jc w:val="left"/>
    </w:pPr>
  </w:style>
  <w:style w:type="paragraph" w:styleId="6">
    <w:name w:val="Body Text Indent"/>
    <w:basedOn w:val="1"/>
    <w:link w:val="25"/>
    <w:autoRedefine/>
    <w:qFormat/>
    <w:uiPriority w:val="0"/>
    <w:pPr>
      <w:spacing w:after="120"/>
      <w:ind w:left="420" w:leftChars="200"/>
    </w:pPr>
  </w:style>
  <w:style w:type="paragraph" w:styleId="7">
    <w:name w:val="toc 3"/>
    <w:basedOn w:val="1"/>
    <w:next w:val="1"/>
    <w:autoRedefine/>
    <w:semiHidden/>
    <w:unhideWhenUsed/>
    <w:qFormat/>
    <w:uiPriority w:val="39"/>
    <w:pPr>
      <w:ind w:left="840" w:leftChars="400"/>
    </w:pPr>
  </w:style>
  <w:style w:type="paragraph" w:styleId="8">
    <w:name w:val="Balloon Text"/>
    <w:basedOn w:val="1"/>
    <w:link w:val="33"/>
    <w:autoRedefine/>
    <w:semiHidden/>
    <w:unhideWhenUsed/>
    <w:qFormat/>
    <w:uiPriority w:val="99"/>
    <w:rPr>
      <w:sz w:val="18"/>
      <w:szCs w:val="18"/>
    </w:rPr>
  </w:style>
  <w:style w:type="paragraph" w:styleId="9">
    <w:name w:val="footer"/>
    <w:basedOn w:val="1"/>
    <w:link w:val="23"/>
    <w:autoRedefine/>
    <w:unhideWhenUsed/>
    <w:qFormat/>
    <w:uiPriority w:val="99"/>
    <w:pPr>
      <w:tabs>
        <w:tab w:val="center" w:pos="4153"/>
        <w:tab w:val="right" w:pos="8306"/>
      </w:tabs>
      <w:snapToGrid w:val="0"/>
      <w:jc w:val="left"/>
    </w:pPr>
    <w:rPr>
      <w:sz w:val="18"/>
      <w:szCs w:val="18"/>
    </w:rPr>
  </w:style>
  <w:style w:type="paragraph" w:styleId="10">
    <w:name w:val="header"/>
    <w:basedOn w:val="1"/>
    <w:link w:val="22"/>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autoRedefine/>
    <w:qFormat/>
    <w:uiPriority w:val="39"/>
    <w:pPr>
      <w:spacing w:before="120" w:after="120"/>
      <w:jc w:val="left"/>
    </w:pPr>
    <w:rPr>
      <w:rFonts w:ascii="Calibri" w:hAnsi="Calibri" w:cs="Calibri"/>
      <w:b/>
      <w:bCs/>
      <w:caps/>
      <w:sz w:val="20"/>
      <w:szCs w:val="20"/>
    </w:rPr>
  </w:style>
  <w:style w:type="paragraph" w:styleId="12">
    <w:name w:val="footnote text"/>
    <w:basedOn w:val="1"/>
    <w:link w:val="28"/>
    <w:autoRedefine/>
    <w:unhideWhenUsed/>
    <w:qFormat/>
    <w:uiPriority w:val="99"/>
    <w:pPr>
      <w:snapToGrid w:val="0"/>
      <w:jc w:val="left"/>
    </w:pPr>
    <w:rPr>
      <w:sz w:val="18"/>
      <w:szCs w:val="18"/>
    </w:rPr>
  </w:style>
  <w:style w:type="paragraph" w:styleId="13">
    <w:name w:val="toc 2"/>
    <w:basedOn w:val="1"/>
    <w:next w:val="1"/>
    <w:autoRedefine/>
    <w:qFormat/>
    <w:uiPriority w:val="39"/>
    <w:pPr>
      <w:ind w:left="300"/>
      <w:jc w:val="left"/>
    </w:pPr>
    <w:rPr>
      <w:rFonts w:ascii="Calibri" w:hAnsi="Calibri" w:cs="Calibri"/>
      <w:smallCaps/>
      <w:sz w:val="20"/>
      <w:szCs w:val="20"/>
    </w:rPr>
  </w:style>
  <w:style w:type="paragraph" w:styleId="14">
    <w:name w:val="Normal (Web)"/>
    <w:basedOn w:val="1"/>
    <w:autoRedefine/>
    <w:qFormat/>
    <w:uiPriority w:val="99"/>
    <w:pPr>
      <w:widowControl/>
      <w:spacing w:before="100" w:beforeAutospacing="1" w:after="100" w:afterAutospacing="1"/>
      <w:jc w:val="left"/>
    </w:pPr>
    <w:rPr>
      <w:rFonts w:hint="eastAsia" w:ascii="Arial Unicode MS" w:hAnsi="Arial Unicode MS" w:eastAsia="Arial Unicode MS" w:cs="Arial Unicode MS"/>
      <w:color w:val="000000"/>
      <w:kern w:val="0"/>
      <w:sz w:val="24"/>
    </w:rPr>
  </w:style>
  <w:style w:type="paragraph" w:styleId="15">
    <w:name w:val="annotation subject"/>
    <w:basedOn w:val="5"/>
    <w:next w:val="5"/>
    <w:link w:val="32"/>
    <w:autoRedefine/>
    <w:semiHidden/>
    <w:unhideWhenUsed/>
    <w:qFormat/>
    <w:uiPriority w:val="99"/>
    <w:rPr>
      <w:b/>
      <w:bCs/>
    </w:rPr>
  </w:style>
  <w:style w:type="character" w:styleId="18">
    <w:name w:val="Strong"/>
    <w:basedOn w:val="17"/>
    <w:autoRedefine/>
    <w:qFormat/>
    <w:uiPriority w:val="22"/>
    <w:rPr>
      <w:b/>
    </w:rPr>
  </w:style>
  <w:style w:type="character" w:styleId="19">
    <w:name w:val="Hyperlink"/>
    <w:basedOn w:val="17"/>
    <w:autoRedefine/>
    <w:unhideWhenUsed/>
    <w:qFormat/>
    <w:uiPriority w:val="99"/>
    <w:rPr>
      <w:color w:val="0563C1" w:themeColor="hyperlink"/>
      <w:u w:val="single"/>
      <w14:textFill>
        <w14:solidFill>
          <w14:schemeClr w14:val="hlink"/>
        </w14:solidFill>
      </w14:textFill>
    </w:rPr>
  </w:style>
  <w:style w:type="character" w:styleId="20">
    <w:name w:val="annotation reference"/>
    <w:basedOn w:val="17"/>
    <w:autoRedefine/>
    <w:semiHidden/>
    <w:unhideWhenUsed/>
    <w:qFormat/>
    <w:uiPriority w:val="99"/>
    <w:rPr>
      <w:sz w:val="21"/>
      <w:szCs w:val="21"/>
    </w:rPr>
  </w:style>
  <w:style w:type="character" w:styleId="21">
    <w:name w:val="footnote reference"/>
    <w:autoRedefine/>
    <w:semiHidden/>
    <w:unhideWhenUsed/>
    <w:qFormat/>
    <w:uiPriority w:val="99"/>
    <w:rPr>
      <w:vertAlign w:val="superscript"/>
    </w:rPr>
  </w:style>
  <w:style w:type="character" w:customStyle="1" w:styleId="22">
    <w:name w:val="页眉 字符"/>
    <w:basedOn w:val="17"/>
    <w:link w:val="10"/>
    <w:autoRedefine/>
    <w:qFormat/>
    <w:uiPriority w:val="99"/>
    <w:rPr>
      <w:sz w:val="18"/>
      <w:szCs w:val="18"/>
    </w:rPr>
  </w:style>
  <w:style w:type="character" w:customStyle="1" w:styleId="23">
    <w:name w:val="页脚 字符"/>
    <w:basedOn w:val="17"/>
    <w:link w:val="9"/>
    <w:autoRedefine/>
    <w:qFormat/>
    <w:uiPriority w:val="99"/>
    <w:rPr>
      <w:sz w:val="18"/>
      <w:szCs w:val="18"/>
    </w:rPr>
  </w:style>
  <w:style w:type="character" w:customStyle="1" w:styleId="24">
    <w:name w:val="页脚 Char"/>
    <w:autoRedefine/>
    <w:qFormat/>
    <w:uiPriority w:val="99"/>
    <w:rPr>
      <w:rFonts w:eastAsia="宋体"/>
      <w:sz w:val="18"/>
      <w:szCs w:val="18"/>
      <w:lang w:bidi="ar-SA"/>
    </w:rPr>
  </w:style>
  <w:style w:type="character" w:customStyle="1" w:styleId="25">
    <w:name w:val="正文文本缩进 字符"/>
    <w:basedOn w:val="17"/>
    <w:link w:val="6"/>
    <w:autoRedefine/>
    <w:qFormat/>
    <w:uiPriority w:val="0"/>
    <w:rPr>
      <w:rFonts w:ascii="Times New Roman" w:hAnsi="Times New Roman" w:eastAsia="仿宋_GB2312" w:cs="Times New Roman"/>
      <w:sz w:val="30"/>
      <w:szCs w:val="24"/>
    </w:rPr>
  </w:style>
  <w:style w:type="character" w:customStyle="1" w:styleId="26">
    <w:name w:val="标题 2 字符"/>
    <w:basedOn w:val="17"/>
    <w:link w:val="3"/>
    <w:autoRedefine/>
    <w:qFormat/>
    <w:uiPriority w:val="0"/>
    <w:rPr>
      <w:rFonts w:ascii="Arial" w:hAnsi="Arial" w:eastAsia="黑体" w:cs="Arial"/>
      <w:b/>
      <w:bCs/>
      <w:sz w:val="32"/>
      <w:szCs w:val="32"/>
    </w:rPr>
  </w:style>
  <w:style w:type="character" w:customStyle="1" w:styleId="27">
    <w:name w:val="标题 1 字符"/>
    <w:basedOn w:val="17"/>
    <w:link w:val="2"/>
    <w:autoRedefine/>
    <w:qFormat/>
    <w:uiPriority w:val="0"/>
    <w:rPr>
      <w:rFonts w:ascii="Times New Roman" w:hAnsi="Times New Roman" w:eastAsia="仿宋_GB2312" w:cs="Times New Roman"/>
      <w:b/>
      <w:bCs/>
      <w:kern w:val="44"/>
      <w:sz w:val="44"/>
      <w:szCs w:val="44"/>
    </w:rPr>
  </w:style>
  <w:style w:type="character" w:customStyle="1" w:styleId="28">
    <w:name w:val="脚注文本 字符"/>
    <w:basedOn w:val="17"/>
    <w:link w:val="12"/>
    <w:autoRedefine/>
    <w:qFormat/>
    <w:uiPriority w:val="99"/>
    <w:rPr>
      <w:rFonts w:ascii="Times New Roman" w:hAnsi="Times New Roman" w:eastAsia="仿宋_GB2312" w:cs="Times New Roman"/>
      <w:sz w:val="18"/>
      <w:szCs w:val="18"/>
    </w:rPr>
  </w:style>
  <w:style w:type="paragraph" w:styleId="29">
    <w:name w:val="List Paragraph"/>
    <w:basedOn w:val="1"/>
    <w:autoRedefine/>
    <w:qFormat/>
    <w:uiPriority w:val="34"/>
    <w:pPr>
      <w:ind w:firstLine="420" w:firstLineChars="200"/>
    </w:pPr>
  </w:style>
  <w:style w:type="paragraph" w:customStyle="1" w:styleId="30">
    <w:name w:val="公文二级标题"/>
    <w:basedOn w:val="1"/>
    <w:autoRedefine/>
    <w:qFormat/>
    <w:uiPriority w:val="0"/>
    <w:pPr>
      <w:spacing w:line="360" w:lineRule="auto"/>
      <w:ind w:firstLine="600" w:firstLineChars="200"/>
      <w:outlineLvl w:val="1"/>
    </w:pPr>
    <w:rPr>
      <w:rFonts w:ascii="楷体" w:hAnsi="楷体" w:eastAsia="楷体"/>
      <w:b/>
      <w:szCs w:val="30"/>
    </w:rPr>
  </w:style>
  <w:style w:type="character" w:customStyle="1" w:styleId="31">
    <w:name w:val="批注文字 字符"/>
    <w:basedOn w:val="17"/>
    <w:link w:val="5"/>
    <w:autoRedefine/>
    <w:semiHidden/>
    <w:qFormat/>
    <w:uiPriority w:val="99"/>
    <w:rPr>
      <w:rFonts w:eastAsia="仿宋_GB2312"/>
      <w:kern w:val="2"/>
      <w:sz w:val="30"/>
      <w:szCs w:val="24"/>
    </w:rPr>
  </w:style>
  <w:style w:type="character" w:customStyle="1" w:styleId="32">
    <w:name w:val="批注主题 字符"/>
    <w:basedOn w:val="31"/>
    <w:link w:val="15"/>
    <w:autoRedefine/>
    <w:semiHidden/>
    <w:qFormat/>
    <w:uiPriority w:val="99"/>
    <w:rPr>
      <w:rFonts w:eastAsia="仿宋_GB2312"/>
      <w:b/>
      <w:bCs/>
      <w:kern w:val="2"/>
      <w:sz w:val="30"/>
      <w:szCs w:val="24"/>
    </w:rPr>
  </w:style>
  <w:style w:type="character" w:customStyle="1" w:styleId="33">
    <w:name w:val="批注框文本 字符"/>
    <w:basedOn w:val="17"/>
    <w:link w:val="8"/>
    <w:autoRedefine/>
    <w:semiHidden/>
    <w:qFormat/>
    <w:uiPriority w:val="99"/>
    <w:rPr>
      <w:rFonts w:eastAsia="仿宋_GB2312"/>
      <w:kern w:val="2"/>
      <w:sz w:val="18"/>
      <w:szCs w:val="18"/>
    </w:rPr>
  </w:style>
  <w:style w:type="character" w:customStyle="1" w:styleId="34">
    <w:name w:val="文档结构图 字符"/>
    <w:basedOn w:val="17"/>
    <w:link w:val="4"/>
    <w:autoRedefine/>
    <w:semiHidden/>
    <w:qFormat/>
    <w:uiPriority w:val="99"/>
    <w:rPr>
      <w:rFonts w:ascii="宋体"/>
      <w:kern w:val="2"/>
      <w:sz w:val="18"/>
      <w:szCs w:val="18"/>
    </w:rPr>
  </w:style>
  <w:style w:type="character" w:customStyle="1" w:styleId="35">
    <w:name w:val="font21"/>
    <w:basedOn w:val="17"/>
    <w:autoRedefine/>
    <w:qFormat/>
    <w:uiPriority w:val="0"/>
    <w:rPr>
      <w:rFonts w:hint="default" w:ascii="方正仿宋_GB2312" w:hAnsi="方正仿宋_GB2312" w:eastAsia="方正仿宋_GB2312" w:cs="方正仿宋_GB2312"/>
      <w:color w:val="000000"/>
      <w:sz w:val="20"/>
      <w:szCs w:val="20"/>
      <w:u w:val="none"/>
    </w:rPr>
  </w:style>
  <w:style w:type="character" w:customStyle="1" w:styleId="36">
    <w:name w:val="font41"/>
    <w:basedOn w:val="17"/>
    <w:autoRedefine/>
    <w:qFormat/>
    <w:uiPriority w:val="0"/>
    <w:rPr>
      <w:rFonts w:hint="default" w:ascii="方正仿宋_GB2312" w:hAnsi="方正仿宋_GB2312" w:eastAsia="方正仿宋_GB2312" w:cs="方正仿宋_GB2312"/>
      <w:color w:val="FF0000"/>
      <w:sz w:val="20"/>
      <w:szCs w:val="20"/>
      <w:u w:val="none"/>
    </w:rPr>
  </w:style>
  <w:style w:type="paragraph" w:customStyle="1" w:styleId="37">
    <w:name w:val="Other|1"/>
    <w:basedOn w:val="1"/>
    <w:autoRedefine/>
    <w:qFormat/>
    <w:uiPriority w:val="0"/>
    <w:pPr>
      <w:spacing w:line="394" w:lineRule="auto"/>
      <w:ind w:firstLine="400"/>
      <w:jc w:val="left"/>
    </w:pPr>
    <w:rPr>
      <w:rFonts w:ascii="宋体" w:hAnsi="宋体" w:eastAsia="宋体" w:cs="宋体"/>
      <w:color w:val="000000"/>
      <w:kern w:val="0"/>
      <w:szCs w:val="30"/>
      <w:lang w:val="zh-TW" w:eastAsia="zh-TW" w:bidi="zh-TW"/>
    </w:rPr>
  </w:style>
  <w:style w:type="character" w:customStyle="1" w:styleId="38">
    <w:name w:val="font31"/>
    <w:basedOn w:val="17"/>
    <w:autoRedefine/>
    <w:qFormat/>
    <w:uiPriority w:val="0"/>
    <w:rPr>
      <w:rFonts w:hint="eastAsia" w:ascii="仿宋_GB2312" w:eastAsia="仿宋_GB2312" w:cs="仿宋_GB2312"/>
      <w:i/>
      <w:iCs/>
      <w:color w:val="000000"/>
      <w:sz w:val="20"/>
      <w:szCs w:val="20"/>
      <w:u w:val="none"/>
    </w:rPr>
  </w:style>
  <w:style w:type="character" w:customStyle="1" w:styleId="39">
    <w:name w:val="font61"/>
    <w:basedOn w:val="17"/>
    <w:autoRedefine/>
    <w:qFormat/>
    <w:uiPriority w:val="0"/>
    <w:rPr>
      <w:rFonts w:hint="eastAsia" w:ascii="仿宋_GB2312" w:eastAsia="仿宋_GB2312" w:cs="仿宋_GB2312"/>
      <w:i/>
      <w:iCs/>
      <w:color w:val="FF0000"/>
      <w:sz w:val="20"/>
      <w:szCs w:val="20"/>
      <w:u w:val="none"/>
    </w:rPr>
  </w:style>
  <w:style w:type="character" w:customStyle="1" w:styleId="40">
    <w:name w:val="font11"/>
    <w:basedOn w:val="17"/>
    <w:autoRedefine/>
    <w:qFormat/>
    <w:uiPriority w:val="0"/>
    <w:rPr>
      <w:rFonts w:hint="eastAsia" w:ascii="宋体" w:hAnsi="宋体" w:eastAsia="宋体" w:cs="宋体"/>
      <w:b/>
      <w:bCs/>
      <w:color w:val="000000"/>
      <w:sz w:val="20"/>
      <w:szCs w:val="20"/>
      <w:u w:val="none"/>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DFBD85-4B23-4C06-AEFF-BDBF3BCB2240}">
  <ds:schemaRefs/>
</ds:datastoreItem>
</file>

<file path=docProps/app.xml><?xml version="1.0" encoding="utf-8"?>
<Properties xmlns="http://schemas.openxmlformats.org/officeDocument/2006/extended-properties" xmlns:vt="http://schemas.openxmlformats.org/officeDocument/2006/docPropsVTypes">
  <Company>中国微软</Company>
  <Pages>48</Pages>
  <Words>20121</Words>
  <Characters>21285</Characters>
  <Lines>1</Lines>
  <Paragraphs>1</Paragraphs>
  <TotalTime>2</TotalTime>
  <ScaleCrop>false</ScaleCrop>
  <LinksUpToDate>false</LinksUpToDate>
  <CharactersWithSpaces>21344</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2023-04-26T11:02:00Z</dcterms:created>
  <dc:creator>微软用户</dc:creator>
  <cp:lastModifiedBy>灬鹰眼灬</cp:lastModifiedBy>
  <cp:lastPrinted>2024-05-13T00:52:00Z</cp:lastPrinted>
  <dcterms:modified xsi:type="dcterms:W3CDTF">2024-05-13T06:30:24Z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0832F28EFCA740C595BCDFA1EE421614_13</vt:lpwstr>
  </property>
</Properties>
</file>