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C6CF69">
      <w:pPr>
        <w:keepNext w:val="0"/>
        <w:keepLines w:val="0"/>
        <w:pageBreakBefore w:val="0"/>
        <w:widowControl w:val="0"/>
        <w:kinsoku/>
        <w:wordWrap/>
        <w:overflowPunct/>
        <w:topLinePunct w:val="0"/>
        <w:autoSpaceDE w:val="0"/>
        <w:autoSpaceDN w:val="0"/>
        <w:bidi w:val="0"/>
        <w:adjustRightInd w:val="0"/>
        <w:snapToGrid w:val="0"/>
        <w:spacing w:before="100"/>
        <w:ind w:right="22" w:rightChars="0" w:firstLine="0" w:firstLineChars="0"/>
        <w:textAlignment w:val="baseline"/>
        <w:outlineLvl w:val="0"/>
        <w:rPr>
          <w:rFonts w:hint="eastAsia" w:ascii="黑体" w:hAnsi="黑体" w:eastAsia="黑体" w:cs="黑体"/>
          <w:b w:val="0"/>
          <w:bCs w:val="0"/>
          <w:spacing w:val="2"/>
          <w:sz w:val="32"/>
          <w:szCs w:val="32"/>
          <w:highlight w:val="none"/>
          <w:lang w:val="en-US" w:eastAsia="zh-CN"/>
        </w:rPr>
      </w:pPr>
      <w:r>
        <w:rPr>
          <w:rFonts w:hint="eastAsia" w:ascii="黑体" w:hAnsi="黑体" w:eastAsia="黑体" w:cs="黑体"/>
          <w:b w:val="0"/>
          <w:bCs w:val="0"/>
          <w:spacing w:val="2"/>
          <w:sz w:val="32"/>
          <w:szCs w:val="32"/>
          <w:highlight w:val="none"/>
          <w:lang w:val="en-US" w:eastAsia="zh-CN"/>
        </w:rPr>
        <w:t>附件2</w:t>
      </w:r>
    </w:p>
    <w:p w14:paraId="3B051211">
      <w:pPr>
        <w:pStyle w:val="3"/>
        <w:numPr>
          <w:ilvl w:val="0"/>
          <w:numId w:val="0"/>
        </w:numPr>
        <w:kinsoku/>
        <w:spacing w:before="100" w:line="560" w:lineRule="exact"/>
        <w:ind w:left="0" w:leftChars="0" w:right="22" w:firstLine="0" w:firstLineChars="0"/>
        <w:jc w:val="center"/>
        <w:rPr>
          <w:rFonts w:hint="eastAsia" w:ascii="方正小标宋简体" w:hAnsi="方正小标宋简体" w:eastAsia="方正小标宋简体" w:cs="方正小标宋简体"/>
          <w:b w:val="0"/>
          <w:bCs w:val="0"/>
          <w:spacing w:val="2"/>
          <w:sz w:val="44"/>
          <w:szCs w:val="44"/>
          <w:highlight w:val="none"/>
          <w:lang w:eastAsia="zh-CN"/>
        </w:rPr>
      </w:pPr>
      <w:r>
        <w:rPr>
          <w:rFonts w:hint="eastAsia" w:ascii="方正小标宋简体" w:hAnsi="方正小标宋简体" w:eastAsia="方正小标宋简体" w:cs="方正小标宋简体"/>
          <w:b w:val="0"/>
          <w:bCs w:val="0"/>
          <w:spacing w:val="2"/>
          <w:sz w:val="44"/>
          <w:szCs w:val="44"/>
          <w:highlight w:val="none"/>
          <w:lang w:eastAsia="zh-CN"/>
        </w:rPr>
        <w:t>软件和信息服务业</w:t>
      </w:r>
      <w:r>
        <w:rPr>
          <w:rFonts w:hint="eastAsia" w:ascii="方正小标宋简体" w:hAnsi="方正小标宋简体" w:eastAsia="方正小标宋简体" w:cs="方正小标宋简体"/>
          <w:b w:val="0"/>
          <w:bCs w:val="0"/>
          <w:spacing w:val="2"/>
          <w:sz w:val="44"/>
          <w:szCs w:val="44"/>
          <w:highlight w:val="none"/>
          <w:lang w:val="en-US" w:eastAsia="zh-CN"/>
        </w:rPr>
        <w:t>企业</w:t>
      </w:r>
      <w:r>
        <w:rPr>
          <w:rFonts w:hint="eastAsia" w:ascii="方正小标宋简体" w:hAnsi="方正小标宋简体" w:eastAsia="方正小标宋简体" w:cs="方正小标宋简体"/>
          <w:b w:val="0"/>
          <w:bCs w:val="0"/>
          <w:spacing w:val="2"/>
          <w:sz w:val="44"/>
          <w:szCs w:val="44"/>
          <w:highlight w:val="none"/>
          <w:lang w:eastAsia="zh-CN"/>
        </w:rPr>
        <w:t>安全工作</w:t>
      </w:r>
      <w:r>
        <w:rPr>
          <w:rFonts w:hint="eastAsia" w:ascii="方正小标宋简体" w:hAnsi="方正小标宋简体" w:eastAsia="方正小标宋简体" w:cs="方正小标宋简体"/>
          <w:b w:val="0"/>
          <w:bCs w:val="0"/>
          <w:spacing w:val="2"/>
          <w:sz w:val="44"/>
          <w:szCs w:val="44"/>
          <w:highlight w:val="none"/>
          <w:lang w:val="en-US" w:eastAsia="zh-CN"/>
        </w:rPr>
        <w:t>自查</w:t>
      </w:r>
      <w:r>
        <w:rPr>
          <w:rFonts w:hint="eastAsia" w:ascii="方正小标宋简体" w:hAnsi="方正小标宋简体" w:eastAsia="方正小标宋简体" w:cs="方正小标宋简体"/>
          <w:b w:val="0"/>
          <w:bCs w:val="0"/>
          <w:spacing w:val="2"/>
          <w:sz w:val="44"/>
          <w:szCs w:val="44"/>
          <w:highlight w:val="none"/>
          <w:lang w:eastAsia="zh-CN"/>
        </w:rPr>
        <w:t>指引</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8"/>
        <w:gridCol w:w="870"/>
        <w:gridCol w:w="1284"/>
        <w:gridCol w:w="2748"/>
        <w:gridCol w:w="2319"/>
        <w:gridCol w:w="1125"/>
        <w:gridCol w:w="1655"/>
        <w:gridCol w:w="1663"/>
        <w:gridCol w:w="794"/>
      </w:tblGrid>
      <w:tr w14:paraId="5EA0E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tblHeader/>
        </w:trPr>
        <w:tc>
          <w:tcPr>
            <w:tcW w:w="798" w:type="dxa"/>
            <w:tcBorders>
              <w:top w:val="single" w:color="auto" w:sz="4" w:space="0"/>
            </w:tcBorders>
            <w:noWrap w:val="0"/>
            <w:vAlign w:val="center"/>
          </w:tcPr>
          <w:p w14:paraId="0A3952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序号</w:t>
            </w:r>
          </w:p>
        </w:tc>
        <w:tc>
          <w:tcPr>
            <w:tcW w:w="870" w:type="dxa"/>
            <w:tcBorders>
              <w:top w:val="single" w:color="auto" w:sz="4" w:space="0"/>
            </w:tcBorders>
            <w:noWrap w:val="0"/>
            <w:vAlign w:val="center"/>
          </w:tcPr>
          <w:p w14:paraId="6117427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要点</w:t>
            </w:r>
          </w:p>
        </w:tc>
        <w:tc>
          <w:tcPr>
            <w:tcW w:w="1284" w:type="dxa"/>
            <w:tcBorders>
              <w:top w:val="single" w:color="auto" w:sz="4" w:space="0"/>
            </w:tcBorders>
            <w:noWrap w:val="0"/>
            <w:vAlign w:val="center"/>
          </w:tcPr>
          <w:p w14:paraId="127C2DF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项目</w:t>
            </w:r>
          </w:p>
        </w:tc>
        <w:tc>
          <w:tcPr>
            <w:tcW w:w="2748" w:type="dxa"/>
            <w:tcBorders>
              <w:top w:val="single" w:color="auto" w:sz="4" w:space="0"/>
            </w:tcBorders>
            <w:noWrap w:val="0"/>
            <w:vAlign w:val="center"/>
          </w:tcPr>
          <w:p w14:paraId="14601E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lang w:val="en-US" w:eastAsia="zh-CN"/>
              </w:rPr>
              <w:t>自查要求</w:t>
            </w:r>
          </w:p>
        </w:tc>
        <w:tc>
          <w:tcPr>
            <w:tcW w:w="5099" w:type="dxa"/>
            <w:gridSpan w:val="3"/>
            <w:tcBorders>
              <w:top w:val="single" w:color="auto" w:sz="4" w:space="0"/>
            </w:tcBorders>
            <w:noWrap w:val="0"/>
            <w:vAlign w:val="center"/>
          </w:tcPr>
          <w:p w14:paraId="66B3184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lang w:val="en-US" w:eastAsia="zh-CN"/>
              </w:rPr>
              <w:t>核验</w:t>
            </w:r>
            <w:r>
              <w:rPr>
                <w:rFonts w:hint="eastAsia" w:ascii="黑体" w:hAnsi="黑体" w:eastAsia="黑体" w:cs="黑体"/>
                <w:b w:val="0"/>
                <w:bCs w:val="0"/>
                <w:sz w:val="28"/>
                <w:szCs w:val="28"/>
                <w:highlight w:val="none"/>
              </w:rPr>
              <w:t>内容</w:t>
            </w:r>
          </w:p>
        </w:tc>
        <w:tc>
          <w:tcPr>
            <w:tcW w:w="1663" w:type="dxa"/>
            <w:tcBorders>
              <w:top w:val="single" w:color="auto" w:sz="4" w:space="0"/>
            </w:tcBorders>
            <w:noWrap w:val="0"/>
            <w:vAlign w:val="center"/>
          </w:tcPr>
          <w:p w14:paraId="1ACC5BF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核验结果</w:t>
            </w:r>
          </w:p>
        </w:tc>
        <w:tc>
          <w:tcPr>
            <w:tcW w:w="794" w:type="dxa"/>
            <w:tcBorders>
              <w:top w:val="single" w:color="auto" w:sz="4" w:space="0"/>
            </w:tcBorders>
            <w:noWrap w:val="0"/>
            <w:vAlign w:val="center"/>
          </w:tcPr>
          <w:p w14:paraId="29DB3E5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黑体" w:hAnsi="黑体" w:eastAsia="黑体" w:cs="黑体"/>
                <w:b w:val="0"/>
                <w:bCs w:val="0"/>
                <w:sz w:val="28"/>
                <w:szCs w:val="28"/>
                <w:highlight w:val="none"/>
              </w:rPr>
            </w:pPr>
            <w:r>
              <w:rPr>
                <w:rFonts w:hint="eastAsia" w:ascii="黑体" w:hAnsi="黑体" w:eastAsia="黑体" w:cs="黑体"/>
                <w:b w:val="0"/>
                <w:bCs w:val="0"/>
                <w:sz w:val="28"/>
                <w:szCs w:val="28"/>
                <w:highlight w:val="none"/>
              </w:rPr>
              <w:t>备注</w:t>
            </w:r>
          </w:p>
        </w:tc>
      </w:tr>
      <w:tr w14:paraId="6505A4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restart"/>
            <w:noWrap w:val="0"/>
            <w:vAlign w:val="center"/>
          </w:tcPr>
          <w:p w14:paraId="2BF4951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1</w:t>
            </w:r>
          </w:p>
        </w:tc>
        <w:tc>
          <w:tcPr>
            <w:tcW w:w="870" w:type="dxa"/>
            <w:vMerge w:val="restart"/>
            <w:noWrap w:val="0"/>
            <w:vAlign w:val="center"/>
          </w:tcPr>
          <w:p w14:paraId="5A84810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安全生产责任制</w:t>
            </w:r>
          </w:p>
        </w:tc>
        <w:tc>
          <w:tcPr>
            <w:tcW w:w="1284" w:type="dxa"/>
            <w:vMerge w:val="restart"/>
            <w:noWrap w:val="0"/>
            <w:vAlign w:val="center"/>
          </w:tcPr>
          <w:p w14:paraId="0D0B277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目标和</w:t>
            </w:r>
          </w:p>
          <w:p w14:paraId="484C730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指标</w:t>
            </w:r>
          </w:p>
        </w:tc>
        <w:tc>
          <w:tcPr>
            <w:tcW w:w="2748" w:type="dxa"/>
            <w:vMerge w:val="restart"/>
            <w:noWrap w:val="0"/>
            <w:vAlign w:val="center"/>
          </w:tcPr>
          <w:p w14:paraId="5CB69A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企业应制定年度安全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工作计划和安全生产目标。</w:t>
            </w:r>
          </w:p>
        </w:tc>
        <w:tc>
          <w:tcPr>
            <w:tcW w:w="5099" w:type="dxa"/>
            <w:gridSpan w:val="3"/>
            <w:noWrap w:val="0"/>
            <w:vAlign w:val="center"/>
          </w:tcPr>
          <w:p w14:paraId="55C8747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年度安全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工作计划</w:t>
            </w:r>
          </w:p>
        </w:tc>
        <w:tc>
          <w:tcPr>
            <w:tcW w:w="1663" w:type="dxa"/>
            <w:noWrap w:val="0"/>
            <w:vAlign w:val="center"/>
          </w:tcPr>
          <w:p w14:paraId="4368583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FAD949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FF57EA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2E1C0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AB26D5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6DCF8F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984EB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65BDB4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460851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年度安全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目标、指标</w:t>
            </w:r>
          </w:p>
        </w:tc>
        <w:tc>
          <w:tcPr>
            <w:tcW w:w="1663" w:type="dxa"/>
            <w:noWrap w:val="0"/>
            <w:vAlign w:val="center"/>
          </w:tcPr>
          <w:p w14:paraId="75294C2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D66C76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36FBFC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03C7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0EAE9D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72C966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2BCA1EF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责任制</w:t>
            </w:r>
          </w:p>
        </w:tc>
        <w:tc>
          <w:tcPr>
            <w:tcW w:w="2748" w:type="dxa"/>
            <w:vMerge w:val="restart"/>
            <w:noWrap w:val="0"/>
            <w:vAlign w:val="center"/>
          </w:tcPr>
          <w:p w14:paraId="5DEA6A3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制定各级（总经理、副总、部门负责人、员工</w:t>
            </w: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、各职能部门（安全、消防、财务、人力资源、业务部门）等全员安全生产责任制。</w:t>
            </w:r>
          </w:p>
        </w:tc>
        <w:tc>
          <w:tcPr>
            <w:tcW w:w="2319" w:type="dxa"/>
            <w:vMerge w:val="restart"/>
            <w:noWrap w:val="0"/>
            <w:vAlign w:val="center"/>
          </w:tcPr>
          <w:p w14:paraId="4C5576B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企业各级、各岗位员工责任制</w:t>
            </w:r>
          </w:p>
        </w:tc>
        <w:tc>
          <w:tcPr>
            <w:tcW w:w="2780" w:type="dxa"/>
            <w:gridSpan w:val="2"/>
            <w:noWrap w:val="0"/>
            <w:vAlign w:val="center"/>
          </w:tcPr>
          <w:p w14:paraId="0B6BE84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总经理职责（实际控制人）</w:t>
            </w:r>
          </w:p>
        </w:tc>
        <w:tc>
          <w:tcPr>
            <w:tcW w:w="1663" w:type="dxa"/>
            <w:noWrap w:val="0"/>
            <w:vAlign w:val="center"/>
          </w:tcPr>
          <w:p w14:paraId="7F9ED3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5AB8D5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0D54A1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DE8E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76B780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F09AD6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F5B8DA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03535F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089872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3CB41B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各副总职责</w:t>
            </w:r>
          </w:p>
        </w:tc>
        <w:tc>
          <w:tcPr>
            <w:tcW w:w="1663" w:type="dxa"/>
            <w:noWrap w:val="0"/>
            <w:vAlign w:val="center"/>
          </w:tcPr>
          <w:p w14:paraId="194978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CD8BD4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0DF5B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3EE1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F907FA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6046A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42F982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10730E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67AC8C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30885B7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部门负责人职责</w:t>
            </w:r>
          </w:p>
        </w:tc>
        <w:tc>
          <w:tcPr>
            <w:tcW w:w="1663" w:type="dxa"/>
            <w:noWrap w:val="0"/>
            <w:vAlign w:val="center"/>
          </w:tcPr>
          <w:p w14:paraId="25C8BD4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509F1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2CA301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F5F86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BD4519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A0CB4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A0DB7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7E04E7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5DD24D6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73A5DB6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部门副职职责</w:t>
            </w:r>
          </w:p>
        </w:tc>
        <w:tc>
          <w:tcPr>
            <w:tcW w:w="1663" w:type="dxa"/>
            <w:noWrap w:val="0"/>
            <w:vAlign w:val="center"/>
          </w:tcPr>
          <w:p w14:paraId="0691B7B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8458C8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881BE7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2E6F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98" w:type="dxa"/>
            <w:vMerge w:val="continue"/>
            <w:noWrap w:val="0"/>
            <w:vAlign w:val="center"/>
          </w:tcPr>
          <w:p w14:paraId="561F305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E5BEAC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51EBF62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40CD21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478C18A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top"/>
          </w:tcPr>
          <w:p w14:paraId="382B4C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专、兼职安全管理人员职责</w:t>
            </w:r>
          </w:p>
        </w:tc>
        <w:tc>
          <w:tcPr>
            <w:tcW w:w="1663" w:type="dxa"/>
            <w:noWrap w:val="0"/>
            <w:vAlign w:val="center"/>
          </w:tcPr>
          <w:p w14:paraId="0BC76C3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610121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5F673E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249D8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34515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A95ED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685802E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D61104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3E974DB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5CE3C4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员工职责</w:t>
            </w:r>
          </w:p>
        </w:tc>
        <w:tc>
          <w:tcPr>
            <w:tcW w:w="1663" w:type="dxa"/>
            <w:noWrap w:val="0"/>
            <w:vAlign w:val="center"/>
          </w:tcPr>
          <w:p w14:paraId="16DAAF5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C7E2A6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472590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4D3F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966DBE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CD4C27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05B586E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7B4B72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restart"/>
            <w:noWrap w:val="0"/>
            <w:vAlign w:val="center"/>
          </w:tcPr>
          <w:p w14:paraId="49A1968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各部门安全生产责任制</w:t>
            </w:r>
          </w:p>
        </w:tc>
        <w:tc>
          <w:tcPr>
            <w:tcW w:w="2780" w:type="dxa"/>
            <w:gridSpan w:val="2"/>
            <w:noWrap w:val="0"/>
            <w:vAlign w:val="center"/>
          </w:tcPr>
          <w:p w14:paraId="096F565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安委会职责</w:t>
            </w:r>
          </w:p>
        </w:tc>
        <w:tc>
          <w:tcPr>
            <w:tcW w:w="1663" w:type="dxa"/>
            <w:noWrap w:val="0"/>
            <w:vAlign w:val="center"/>
          </w:tcPr>
          <w:p w14:paraId="694B922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7BA363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5E3F9B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607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F76BCA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0A6068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59FB02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0EF38B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74848D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176FB30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安全管理部门职责</w:t>
            </w:r>
          </w:p>
        </w:tc>
        <w:tc>
          <w:tcPr>
            <w:tcW w:w="1663" w:type="dxa"/>
            <w:noWrap w:val="0"/>
            <w:vAlign w:val="center"/>
          </w:tcPr>
          <w:p w14:paraId="64F0D0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C2E135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69974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DB63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455DA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019198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7642F9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37DAB8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4E5AF69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C9B38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消防管理部门职责</w:t>
            </w:r>
          </w:p>
        </w:tc>
        <w:tc>
          <w:tcPr>
            <w:tcW w:w="1663" w:type="dxa"/>
            <w:noWrap w:val="0"/>
            <w:vAlign w:val="center"/>
          </w:tcPr>
          <w:p w14:paraId="6D89C12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17EE9C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B2586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8408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 w:hRule="atLeast"/>
        </w:trPr>
        <w:tc>
          <w:tcPr>
            <w:tcW w:w="798" w:type="dxa"/>
            <w:vMerge w:val="continue"/>
            <w:noWrap w:val="0"/>
            <w:vAlign w:val="center"/>
          </w:tcPr>
          <w:p w14:paraId="4061393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69664D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5C7FBC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EAF876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66BAB07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19842A6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人力资源部门职责</w:t>
            </w:r>
          </w:p>
        </w:tc>
        <w:tc>
          <w:tcPr>
            <w:tcW w:w="1663" w:type="dxa"/>
            <w:noWrap w:val="0"/>
            <w:vAlign w:val="center"/>
          </w:tcPr>
          <w:p w14:paraId="2FE32EB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6FEC68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500DEE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6F415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B8F76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3A7004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6E1F3C5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F5590F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70CC662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72C7D8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财务部门职责</w:t>
            </w:r>
          </w:p>
        </w:tc>
        <w:tc>
          <w:tcPr>
            <w:tcW w:w="1663" w:type="dxa"/>
            <w:noWrap w:val="0"/>
            <w:vAlign w:val="center"/>
          </w:tcPr>
          <w:p w14:paraId="1B1E9AD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657635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047F2C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E4AD6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AAFDD4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5C749E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top"/>
          </w:tcPr>
          <w:p w14:paraId="511FD56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3F79D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34F831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7EE9003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其他业务部门职责</w:t>
            </w:r>
          </w:p>
        </w:tc>
        <w:tc>
          <w:tcPr>
            <w:tcW w:w="1663" w:type="dxa"/>
            <w:noWrap w:val="0"/>
            <w:vAlign w:val="center"/>
          </w:tcPr>
          <w:p w14:paraId="3D77715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65E0A6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EE1DC2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B6F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trPr>
        <w:tc>
          <w:tcPr>
            <w:tcW w:w="798" w:type="dxa"/>
            <w:vMerge w:val="restart"/>
            <w:noWrap w:val="0"/>
            <w:vAlign w:val="center"/>
          </w:tcPr>
          <w:p w14:paraId="06A6A08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2</w:t>
            </w:r>
          </w:p>
        </w:tc>
        <w:tc>
          <w:tcPr>
            <w:tcW w:w="870" w:type="dxa"/>
            <w:vMerge w:val="restart"/>
            <w:noWrap w:val="0"/>
            <w:vAlign w:val="center"/>
          </w:tcPr>
          <w:p w14:paraId="4E12F3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管理团队</w:t>
            </w:r>
          </w:p>
        </w:tc>
        <w:tc>
          <w:tcPr>
            <w:tcW w:w="1284" w:type="dxa"/>
            <w:vMerge w:val="restart"/>
            <w:noWrap w:val="0"/>
            <w:vAlign w:val="center"/>
          </w:tcPr>
          <w:p w14:paraId="02A6E8E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组织</w:t>
            </w:r>
          </w:p>
          <w:p w14:paraId="6B609AF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机构</w:t>
            </w:r>
          </w:p>
        </w:tc>
        <w:tc>
          <w:tcPr>
            <w:tcW w:w="2748" w:type="dxa"/>
            <w:vMerge w:val="restart"/>
            <w:noWrap w:val="0"/>
            <w:vAlign w:val="center"/>
          </w:tcPr>
          <w:p w14:paraId="3F80CED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企业应按规定</w:t>
            </w:r>
            <w:r>
              <w:rPr>
                <w:rFonts w:hint="eastAsia" w:ascii="仿宋_GB2312" w:hAnsi="仿宋_GB2312" w:eastAsia="仿宋_GB2312" w:cs="仿宋_GB2312"/>
                <w:b w:val="0"/>
                <w:bCs w:val="0"/>
                <w:sz w:val="28"/>
                <w:szCs w:val="28"/>
                <w:highlight w:val="none"/>
                <w:lang w:eastAsia="zh-CN"/>
              </w:rPr>
              <w:t>设立</w:t>
            </w:r>
            <w:r>
              <w:rPr>
                <w:rFonts w:hint="eastAsia" w:ascii="仿宋_GB2312" w:hAnsi="仿宋_GB2312" w:eastAsia="仿宋_GB2312" w:cs="仿宋_GB2312"/>
                <w:b w:val="0"/>
                <w:bCs w:val="0"/>
                <w:sz w:val="28"/>
                <w:szCs w:val="28"/>
                <w:highlight w:val="none"/>
              </w:rPr>
              <w:t>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管理机构或配备安全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管理人员，以文件形式进行设置或任命，明确安全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管理部门。</w:t>
            </w:r>
          </w:p>
          <w:p w14:paraId="3458CAA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根据《北京市安全生产条例》要求，从业人员超过100人的，应当设置安全生产管理机构或者配备专职安全生产管理人员；从业人员在100人</w:t>
            </w:r>
            <w:r>
              <w:rPr>
                <w:rFonts w:hint="eastAsia" w:ascii="仿宋_GB2312" w:hAnsi="仿宋_GB2312" w:cs="仿宋_GB2312"/>
                <w:b w:val="0"/>
                <w:bCs w:val="0"/>
                <w:sz w:val="28"/>
                <w:szCs w:val="28"/>
                <w:highlight w:val="none"/>
                <w:lang w:eastAsia="zh-CN"/>
              </w:rPr>
              <w:t>（含）</w:t>
            </w:r>
            <w:r>
              <w:rPr>
                <w:rFonts w:hint="eastAsia" w:ascii="仿宋_GB2312" w:hAnsi="仿宋_GB2312" w:eastAsia="仿宋_GB2312" w:cs="仿宋_GB2312"/>
                <w:b w:val="0"/>
                <w:bCs w:val="0"/>
                <w:sz w:val="28"/>
                <w:szCs w:val="28"/>
                <w:highlight w:val="none"/>
              </w:rPr>
              <w:t>以下的，应当配备专职或者兼职的安全生产管理人员。</w:t>
            </w:r>
          </w:p>
        </w:tc>
        <w:tc>
          <w:tcPr>
            <w:tcW w:w="5099" w:type="dxa"/>
            <w:gridSpan w:val="3"/>
            <w:noWrap w:val="0"/>
            <w:vAlign w:val="center"/>
          </w:tcPr>
          <w:p w14:paraId="5DD9950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管理机构设置文件</w:t>
            </w:r>
          </w:p>
        </w:tc>
        <w:tc>
          <w:tcPr>
            <w:tcW w:w="1663" w:type="dxa"/>
            <w:noWrap w:val="0"/>
            <w:vAlign w:val="center"/>
          </w:tcPr>
          <w:p w14:paraId="6AA99A6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378B5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6E7A7E9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p>
        </w:tc>
      </w:tr>
      <w:tr w14:paraId="16F8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5CAD6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206620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A1E63C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5706C2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819FC9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专职、兼职安全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管理人员名单及任命文件</w:t>
            </w:r>
          </w:p>
        </w:tc>
        <w:tc>
          <w:tcPr>
            <w:tcW w:w="1663" w:type="dxa"/>
            <w:noWrap w:val="0"/>
            <w:vAlign w:val="center"/>
          </w:tcPr>
          <w:p w14:paraId="53673A4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BCFC1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3BC199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p>
        </w:tc>
      </w:tr>
      <w:tr w14:paraId="59CFBA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798" w:type="dxa"/>
            <w:vMerge w:val="restart"/>
            <w:noWrap w:val="0"/>
            <w:vAlign w:val="center"/>
          </w:tcPr>
          <w:p w14:paraId="38A6906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3</w:t>
            </w:r>
          </w:p>
          <w:p w14:paraId="693B232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restart"/>
            <w:noWrap w:val="0"/>
            <w:vAlign w:val="center"/>
          </w:tcPr>
          <w:p w14:paraId="6579A2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制度建设</w:t>
            </w:r>
          </w:p>
        </w:tc>
        <w:tc>
          <w:tcPr>
            <w:tcW w:w="1284" w:type="dxa"/>
            <w:vMerge w:val="restart"/>
            <w:noWrap w:val="0"/>
            <w:vAlign w:val="center"/>
          </w:tcPr>
          <w:p w14:paraId="4EBA123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p w14:paraId="7C2B41A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管理</w:t>
            </w:r>
          </w:p>
          <w:p w14:paraId="3469BC2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制度</w:t>
            </w:r>
          </w:p>
        </w:tc>
        <w:tc>
          <w:tcPr>
            <w:tcW w:w="2748" w:type="dxa"/>
            <w:vMerge w:val="restart"/>
            <w:noWrap w:val="0"/>
            <w:vAlign w:val="center"/>
          </w:tcPr>
          <w:p w14:paraId="2B740A4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企业应根据《北京市安全生产条例》《北京市生产经营单位安全生产主体责任规定》要求</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建立安全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管理制度，发放到相关岗位，定期进行评估修订并形成记录。</w:t>
            </w:r>
          </w:p>
          <w:p w14:paraId="69E7707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小型、微型企业等规模较小的生产经营单位，根据本单位实际，可以制定综合性的安全生产规章制度。</w:t>
            </w:r>
          </w:p>
          <w:p w14:paraId="4AF654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AE211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安全生产教育培训管理制度</w:t>
            </w:r>
          </w:p>
        </w:tc>
        <w:tc>
          <w:tcPr>
            <w:tcW w:w="1663" w:type="dxa"/>
            <w:noWrap w:val="0"/>
            <w:vAlign w:val="center"/>
          </w:tcPr>
          <w:p w14:paraId="767A64D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8B1ECC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0248933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C3A3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1" w:hRule="atLeast"/>
        </w:trPr>
        <w:tc>
          <w:tcPr>
            <w:tcW w:w="798" w:type="dxa"/>
            <w:vMerge w:val="continue"/>
            <w:noWrap w:val="0"/>
            <w:vAlign w:val="center"/>
          </w:tcPr>
          <w:p w14:paraId="271C442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DEB6F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39B253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8A9F6C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C8EFB8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安全生产检查与隐患排查治理制度</w:t>
            </w:r>
          </w:p>
        </w:tc>
        <w:tc>
          <w:tcPr>
            <w:tcW w:w="1663" w:type="dxa"/>
            <w:noWrap w:val="0"/>
            <w:vAlign w:val="center"/>
          </w:tcPr>
          <w:p w14:paraId="5AC9732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258D32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2472E6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757D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91C8EA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0EAE6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6B8BD9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8D56E6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8DF5DE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风险分级管控制度</w:t>
            </w:r>
          </w:p>
        </w:tc>
        <w:tc>
          <w:tcPr>
            <w:tcW w:w="1663" w:type="dxa"/>
            <w:noWrap w:val="0"/>
            <w:vAlign w:val="center"/>
          </w:tcPr>
          <w:p w14:paraId="048E29A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304CE6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2E296DE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6B025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32BAF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BA36C4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A1F034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FA305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D45A4C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劳动防护用品配备和管理制度</w:t>
            </w:r>
          </w:p>
        </w:tc>
        <w:tc>
          <w:tcPr>
            <w:tcW w:w="1663" w:type="dxa"/>
            <w:noWrap w:val="0"/>
            <w:vAlign w:val="center"/>
          </w:tcPr>
          <w:p w14:paraId="7114C2E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C330CC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330C9CF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B91F4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65B2A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9B9B66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3FC079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F21D70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1ECFD3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具有较大危险因素的场所、设备和设施安全</w:t>
            </w:r>
            <w:r>
              <w:rPr>
                <w:rFonts w:hint="eastAsia" w:ascii="仿宋_GB2312" w:hAnsi="仿宋_GB2312" w:cs="仿宋_GB2312"/>
                <w:b w:val="0"/>
                <w:bCs w:val="0"/>
                <w:sz w:val="28"/>
                <w:szCs w:val="28"/>
                <w:highlight w:val="none"/>
                <w:lang w:val="en-US" w:eastAsia="zh-CN"/>
              </w:rPr>
              <w:t>生产</w:t>
            </w:r>
            <w:r>
              <w:rPr>
                <w:rFonts w:hint="eastAsia" w:ascii="仿宋_GB2312" w:hAnsi="仿宋_GB2312" w:eastAsia="仿宋_GB2312" w:cs="仿宋_GB2312"/>
                <w:b w:val="0"/>
                <w:bCs w:val="0"/>
                <w:sz w:val="28"/>
                <w:szCs w:val="28"/>
                <w:highlight w:val="none"/>
              </w:rPr>
              <w:t>管理制度（从水、电、气、热、机房等参考）</w:t>
            </w:r>
          </w:p>
        </w:tc>
        <w:tc>
          <w:tcPr>
            <w:tcW w:w="1663" w:type="dxa"/>
            <w:noWrap w:val="0"/>
            <w:vAlign w:val="center"/>
          </w:tcPr>
          <w:p w14:paraId="4EB10CE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1310A6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586ABC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5EA77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1" w:hRule="atLeast"/>
        </w:trPr>
        <w:tc>
          <w:tcPr>
            <w:tcW w:w="798" w:type="dxa"/>
            <w:vMerge w:val="continue"/>
            <w:noWrap w:val="0"/>
            <w:vAlign w:val="center"/>
          </w:tcPr>
          <w:p w14:paraId="21F133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0AF6D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3A2AED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243B48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6B3E22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安全生产资金投入或费用提取、使用和管理制度</w:t>
            </w:r>
          </w:p>
        </w:tc>
        <w:tc>
          <w:tcPr>
            <w:tcW w:w="1663" w:type="dxa"/>
            <w:noWrap w:val="0"/>
            <w:vAlign w:val="center"/>
          </w:tcPr>
          <w:p w14:paraId="46F8B78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7D4A25F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06AB9C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C5CF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trPr>
        <w:tc>
          <w:tcPr>
            <w:tcW w:w="798" w:type="dxa"/>
            <w:vMerge w:val="continue"/>
            <w:noWrap w:val="0"/>
            <w:vAlign w:val="center"/>
          </w:tcPr>
          <w:p w14:paraId="55BD078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9AE4A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EFA1A7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9997D1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E377CE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危险作业管理制度（从有限空间、爆破、吊装、挖掘、动火、临时用电、高处作业中参考）</w:t>
            </w:r>
          </w:p>
        </w:tc>
        <w:tc>
          <w:tcPr>
            <w:tcW w:w="1663" w:type="dxa"/>
            <w:noWrap w:val="0"/>
            <w:vAlign w:val="center"/>
          </w:tcPr>
          <w:p w14:paraId="012D7D2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32C361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7C3E4B5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7457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98" w:type="dxa"/>
            <w:vMerge w:val="continue"/>
            <w:noWrap w:val="0"/>
            <w:vAlign w:val="center"/>
          </w:tcPr>
          <w:p w14:paraId="6742020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E47EA5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FB00FC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02649B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F6ECB8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特种作业人员管理制度</w:t>
            </w:r>
          </w:p>
        </w:tc>
        <w:tc>
          <w:tcPr>
            <w:tcW w:w="1663" w:type="dxa"/>
            <w:noWrap w:val="0"/>
            <w:vAlign w:val="center"/>
          </w:tcPr>
          <w:p w14:paraId="3AED6FC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10E94E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04BA7BA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2A44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98" w:type="dxa"/>
            <w:vMerge w:val="continue"/>
            <w:noWrap w:val="0"/>
            <w:vAlign w:val="center"/>
          </w:tcPr>
          <w:p w14:paraId="5067F10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3E39A3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2D53F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AB677E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3585B2F">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安全生产奖励和惩罚制度</w:t>
            </w:r>
          </w:p>
        </w:tc>
        <w:tc>
          <w:tcPr>
            <w:tcW w:w="1663" w:type="dxa"/>
            <w:noWrap w:val="0"/>
            <w:vAlign w:val="center"/>
          </w:tcPr>
          <w:p w14:paraId="08A60CF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663343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62C8327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5AD8C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798" w:type="dxa"/>
            <w:vMerge w:val="continue"/>
            <w:noWrap w:val="0"/>
            <w:vAlign w:val="center"/>
          </w:tcPr>
          <w:p w14:paraId="625B797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4A9599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8FEA5A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07071F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AD1130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生产安全事故报告和处理制度</w:t>
            </w:r>
          </w:p>
        </w:tc>
        <w:tc>
          <w:tcPr>
            <w:tcW w:w="1663" w:type="dxa"/>
            <w:noWrap w:val="0"/>
            <w:vAlign w:val="center"/>
          </w:tcPr>
          <w:p w14:paraId="2E31171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47A58D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4306DD3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6B226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798" w:type="dxa"/>
            <w:vMerge w:val="continue"/>
            <w:noWrap w:val="0"/>
            <w:vAlign w:val="center"/>
          </w:tcPr>
          <w:p w14:paraId="41103A0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25FC05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D4F5E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FBD20A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0B02292">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消防安全管理制度（按消防部门要求制定）</w:t>
            </w:r>
          </w:p>
        </w:tc>
        <w:tc>
          <w:tcPr>
            <w:tcW w:w="1663" w:type="dxa"/>
            <w:noWrap w:val="0"/>
            <w:vAlign w:val="center"/>
          </w:tcPr>
          <w:p w14:paraId="0ED6257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AB3FD0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46B3EB4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B1C9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798" w:type="dxa"/>
            <w:vMerge w:val="continue"/>
            <w:noWrap w:val="0"/>
            <w:vAlign w:val="center"/>
          </w:tcPr>
          <w:p w14:paraId="206E47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33A9F7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68C9E9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4EA9A7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500D36D">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防汛安全管理制度</w:t>
            </w:r>
          </w:p>
        </w:tc>
        <w:tc>
          <w:tcPr>
            <w:tcW w:w="1663" w:type="dxa"/>
            <w:noWrap w:val="0"/>
            <w:vAlign w:val="center"/>
          </w:tcPr>
          <w:p w14:paraId="4B0B710C">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符合</w:t>
            </w:r>
          </w:p>
          <w:p w14:paraId="06EF15B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4C91AB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26A42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798" w:type="dxa"/>
            <w:vMerge w:val="continue"/>
            <w:noWrap w:val="0"/>
            <w:vAlign w:val="center"/>
          </w:tcPr>
          <w:p w14:paraId="78B765A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8F11C6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B33A6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5E6F66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420D77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评审、修订、发放记录</w:t>
            </w:r>
          </w:p>
        </w:tc>
        <w:tc>
          <w:tcPr>
            <w:tcW w:w="1663" w:type="dxa"/>
            <w:noWrap w:val="0"/>
            <w:vAlign w:val="center"/>
          </w:tcPr>
          <w:p w14:paraId="52885A1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13FDE8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736A7C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9BA5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24DA25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0CEB42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1260F34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p w14:paraId="463EFC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操作</w:t>
            </w:r>
          </w:p>
          <w:p w14:paraId="066B46A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规程</w:t>
            </w:r>
          </w:p>
        </w:tc>
        <w:tc>
          <w:tcPr>
            <w:tcW w:w="2748" w:type="dxa"/>
            <w:vMerge w:val="restart"/>
            <w:noWrap w:val="0"/>
            <w:vAlign w:val="center"/>
          </w:tcPr>
          <w:p w14:paraId="4FC375E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应制定各设备及岗位操作规程汇编</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定期进行评估并修订</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发放到相关岗位，并形成记录</w:t>
            </w:r>
          </w:p>
        </w:tc>
        <w:tc>
          <w:tcPr>
            <w:tcW w:w="2319" w:type="dxa"/>
            <w:vMerge w:val="restart"/>
            <w:noWrap w:val="0"/>
            <w:vAlign w:val="center"/>
          </w:tcPr>
          <w:p w14:paraId="1605A00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岗位操作规程</w:t>
            </w:r>
          </w:p>
        </w:tc>
        <w:tc>
          <w:tcPr>
            <w:tcW w:w="2780" w:type="dxa"/>
            <w:gridSpan w:val="2"/>
            <w:noWrap w:val="0"/>
            <w:vAlign w:val="center"/>
          </w:tcPr>
          <w:p w14:paraId="5EC3A4BA">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测试岗位</w:t>
            </w:r>
          </w:p>
        </w:tc>
        <w:tc>
          <w:tcPr>
            <w:tcW w:w="1663" w:type="dxa"/>
            <w:noWrap w:val="0"/>
            <w:vAlign w:val="center"/>
          </w:tcPr>
          <w:p w14:paraId="0F0197D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BD368DF">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042915C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382B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550555D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80E0A6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897DDA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05F4FD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4271559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0D7C2DCB">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程序岗位</w:t>
            </w:r>
          </w:p>
        </w:tc>
        <w:tc>
          <w:tcPr>
            <w:tcW w:w="1663" w:type="dxa"/>
            <w:noWrap w:val="0"/>
            <w:vAlign w:val="center"/>
          </w:tcPr>
          <w:p w14:paraId="0AE8528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787744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532E4A7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EBFC3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4434B7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2AFFA3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76D08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A6E21E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5A948C4">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1380C6AF">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研发岗位</w:t>
            </w:r>
          </w:p>
        </w:tc>
        <w:tc>
          <w:tcPr>
            <w:tcW w:w="1663" w:type="dxa"/>
            <w:noWrap w:val="0"/>
            <w:vAlign w:val="center"/>
          </w:tcPr>
          <w:p w14:paraId="2E596BE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1391E44">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7FBBE54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FAD1A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98" w:type="dxa"/>
            <w:vMerge w:val="continue"/>
            <w:noWrap w:val="0"/>
            <w:vAlign w:val="center"/>
          </w:tcPr>
          <w:p w14:paraId="702DAE8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CE2376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4BDF04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4A551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DB9BFC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10D8729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运维岗位</w:t>
            </w:r>
          </w:p>
        </w:tc>
        <w:tc>
          <w:tcPr>
            <w:tcW w:w="1663" w:type="dxa"/>
            <w:noWrap w:val="0"/>
            <w:vAlign w:val="center"/>
          </w:tcPr>
          <w:p w14:paraId="319B518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491CC9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32241F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A03BB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98" w:type="dxa"/>
            <w:vMerge w:val="continue"/>
            <w:noWrap w:val="0"/>
            <w:vAlign w:val="center"/>
          </w:tcPr>
          <w:p w14:paraId="1FF71AB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6CE483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68AE87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F2DC2C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43DC4CA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30ECA6ED">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电工</w:t>
            </w:r>
          </w:p>
        </w:tc>
        <w:tc>
          <w:tcPr>
            <w:tcW w:w="1663" w:type="dxa"/>
            <w:noWrap w:val="0"/>
            <w:vAlign w:val="center"/>
          </w:tcPr>
          <w:p w14:paraId="5314BD7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01E06C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455AD7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72F6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3" w:hRule="atLeast"/>
        </w:trPr>
        <w:tc>
          <w:tcPr>
            <w:tcW w:w="798" w:type="dxa"/>
            <w:vMerge w:val="continue"/>
            <w:noWrap w:val="0"/>
            <w:vAlign w:val="center"/>
          </w:tcPr>
          <w:p w14:paraId="0C82D89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7C8BE4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D2BA37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E449CB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0D4E05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6AB678D">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锅炉工</w:t>
            </w:r>
          </w:p>
        </w:tc>
        <w:tc>
          <w:tcPr>
            <w:tcW w:w="1663" w:type="dxa"/>
            <w:noWrap w:val="0"/>
            <w:vAlign w:val="center"/>
          </w:tcPr>
          <w:p w14:paraId="44DA4B7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B4A308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47A11FE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29B9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8" w:hRule="atLeast"/>
        </w:trPr>
        <w:tc>
          <w:tcPr>
            <w:tcW w:w="798" w:type="dxa"/>
            <w:vMerge w:val="continue"/>
            <w:noWrap w:val="0"/>
            <w:vAlign w:val="center"/>
          </w:tcPr>
          <w:p w14:paraId="5E063C1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129251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7BB2CD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0A3B6F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14240C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30665D87">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消防中控人员</w:t>
            </w:r>
          </w:p>
        </w:tc>
        <w:tc>
          <w:tcPr>
            <w:tcW w:w="1663" w:type="dxa"/>
            <w:noWrap w:val="0"/>
            <w:vAlign w:val="center"/>
          </w:tcPr>
          <w:p w14:paraId="4E9A7A23">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FAD3C68">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3B773B1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34C3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98" w:type="dxa"/>
            <w:vMerge w:val="continue"/>
            <w:noWrap w:val="0"/>
            <w:vAlign w:val="center"/>
          </w:tcPr>
          <w:p w14:paraId="553A2AD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E4DBC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6A9315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C7856D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63A8775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5C21D9FE">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网络安全管理人员</w:t>
            </w:r>
          </w:p>
        </w:tc>
        <w:tc>
          <w:tcPr>
            <w:tcW w:w="1663" w:type="dxa"/>
            <w:noWrap w:val="0"/>
            <w:vAlign w:val="center"/>
          </w:tcPr>
          <w:p w14:paraId="4BD69296">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46A3DBE">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center"/>
          </w:tcPr>
          <w:p w14:paraId="0B53530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FFBD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B2DB04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DE92F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88660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525DCA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restart"/>
            <w:noWrap w:val="0"/>
            <w:vAlign w:val="center"/>
          </w:tcPr>
          <w:p w14:paraId="00B1E96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设备操作规程</w:t>
            </w:r>
          </w:p>
        </w:tc>
        <w:tc>
          <w:tcPr>
            <w:tcW w:w="1125" w:type="dxa"/>
            <w:vMerge w:val="restart"/>
            <w:noWrap w:val="0"/>
            <w:vAlign w:val="center"/>
          </w:tcPr>
          <w:p w14:paraId="1520C2DE">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机房</w:t>
            </w:r>
          </w:p>
          <w:p w14:paraId="6668B57C">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w:t>
            </w:r>
          </w:p>
        </w:tc>
        <w:tc>
          <w:tcPr>
            <w:tcW w:w="1655" w:type="dxa"/>
            <w:noWrap w:val="0"/>
            <w:vAlign w:val="center"/>
          </w:tcPr>
          <w:p w14:paraId="2DD07604">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空调</w:t>
            </w:r>
          </w:p>
        </w:tc>
        <w:tc>
          <w:tcPr>
            <w:tcW w:w="1663" w:type="dxa"/>
            <w:noWrap w:val="0"/>
            <w:vAlign w:val="center"/>
          </w:tcPr>
          <w:p w14:paraId="7D7F9B3A">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CFFFBC3">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FFF48D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E72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A10B26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823BD1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53DB04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C1657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7D34AB7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3B349C60">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5C9AE155">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UPS电源</w:t>
            </w:r>
          </w:p>
        </w:tc>
        <w:tc>
          <w:tcPr>
            <w:tcW w:w="1663" w:type="dxa"/>
            <w:noWrap w:val="0"/>
            <w:vAlign w:val="center"/>
          </w:tcPr>
          <w:p w14:paraId="570D1520">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5B11F02">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1F264C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C14A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4D6AA7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54B699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2C3CD7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6118D1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8B6C2C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153AA2C2">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615D2986">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机柜</w:t>
            </w:r>
          </w:p>
        </w:tc>
        <w:tc>
          <w:tcPr>
            <w:tcW w:w="1663" w:type="dxa"/>
            <w:noWrap w:val="0"/>
            <w:vAlign w:val="center"/>
          </w:tcPr>
          <w:p w14:paraId="3F2011F1">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388915F">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C5B98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6E95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167029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DA94DC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8C2C5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EF699F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1096878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50F48E31">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3D4B2526">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气体灭火</w:t>
            </w:r>
          </w:p>
          <w:p w14:paraId="4A9DB9AB">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系统</w:t>
            </w:r>
          </w:p>
        </w:tc>
        <w:tc>
          <w:tcPr>
            <w:tcW w:w="1663" w:type="dxa"/>
            <w:noWrap w:val="0"/>
            <w:vAlign w:val="center"/>
          </w:tcPr>
          <w:p w14:paraId="57B11C47">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1A9156B0">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4F08D2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C72FE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B22D9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7B9ACA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28F53B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C5167A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484FB05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restart"/>
            <w:noWrap w:val="0"/>
            <w:vAlign w:val="center"/>
          </w:tcPr>
          <w:p w14:paraId="5C3BB4C6">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w:t>
            </w:r>
          </w:p>
          <w:p w14:paraId="0B463895">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w:t>
            </w:r>
          </w:p>
        </w:tc>
        <w:tc>
          <w:tcPr>
            <w:tcW w:w="1655" w:type="dxa"/>
            <w:noWrap w:val="0"/>
            <w:vAlign w:val="center"/>
          </w:tcPr>
          <w:p w14:paraId="29547EA9">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消防泵</w:t>
            </w:r>
          </w:p>
        </w:tc>
        <w:tc>
          <w:tcPr>
            <w:tcW w:w="1663" w:type="dxa"/>
            <w:noWrap w:val="0"/>
            <w:vAlign w:val="center"/>
          </w:tcPr>
          <w:p w14:paraId="3C85906C">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70F0B22B">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27057A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3783E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56D224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B48DEE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F3381B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8F1CE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456E82E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7655DB4F">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24A8A1DE">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火灾报警</w:t>
            </w:r>
          </w:p>
          <w:p w14:paraId="358C4A07">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系统</w:t>
            </w:r>
          </w:p>
        </w:tc>
        <w:tc>
          <w:tcPr>
            <w:tcW w:w="1663" w:type="dxa"/>
            <w:noWrap w:val="0"/>
            <w:vAlign w:val="center"/>
          </w:tcPr>
          <w:p w14:paraId="1DFA83E9">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409D180">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1BF77D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CED3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DB549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561D42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D4A463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8AF60C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3417BC0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3498F9F5">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783B27D1">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喷淋系统</w:t>
            </w:r>
          </w:p>
        </w:tc>
        <w:tc>
          <w:tcPr>
            <w:tcW w:w="1663" w:type="dxa"/>
            <w:noWrap w:val="0"/>
            <w:vAlign w:val="center"/>
          </w:tcPr>
          <w:p w14:paraId="410A6A4D">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19D65DAB">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37E1E2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5D10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602D3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F278E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56AE5F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AA5DD4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2A904A9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3D1BC1F9">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64753FCD">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消火栓</w:t>
            </w:r>
          </w:p>
        </w:tc>
        <w:tc>
          <w:tcPr>
            <w:tcW w:w="1663" w:type="dxa"/>
            <w:noWrap w:val="0"/>
            <w:vAlign w:val="center"/>
          </w:tcPr>
          <w:p w14:paraId="3AFE3D32">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B8E5937">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22E74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E14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BD1864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9F809C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F807C1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8CF01F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026A0F1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24F51F44">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4CC04889">
            <w:pPr>
              <w:keepNext w:val="0"/>
              <w:keepLines w:val="0"/>
              <w:pageBreakBefore w:val="0"/>
              <w:widowControl w:val="0"/>
              <w:tabs>
                <w:tab w:val="left" w:pos="1800"/>
              </w:tabs>
              <w:kinsoku/>
              <w:wordWrap/>
              <w:overflowPunct/>
              <w:topLinePunct w:val="0"/>
              <w:autoSpaceDE/>
              <w:autoSpaceDN/>
              <w:bidi w:val="0"/>
              <w:adjustRightInd w:val="0"/>
              <w:snapToGrid w:val="0"/>
              <w:spacing w:line="35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灭火器</w:t>
            </w:r>
          </w:p>
        </w:tc>
        <w:tc>
          <w:tcPr>
            <w:tcW w:w="1663" w:type="dxa"/>
            <w:noWrap w:val="0"/>
            <w:vAlign w:val="center"/>
          </w:tcPr>
          <w:p w14:paraId="151BA617">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1BF5481">
            <w:pPr>
              <w:keepNext w:val="0"/>
              <w:keepLines w:val="0"/>
              <w:pageBreakBefore w:val="0"/>
              <w:widowControl w:val="0"/>
              <w:kinsoku/>
              <w:wordWrap/>
              <w:overflowPunct/>
              <w:topLinePunct w:val="0"/>
              <w:autoSpaceDE/>
              <w:autoSpaceDN/>
              <w:bidi w:val="0"/>
              <w:adjustRightInd w:val="0"/>
              <w:snapToGrid w:val="0"/>
              <w:spacing w:line="35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B0EFC9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DC8E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B603ED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E4D53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E60497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991A18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6833F7D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restart"/>
            <w:noWrap w:val="0"/>
            <w:vAlign w:val="center"/>
          </w:tcPr>
          <w:p w14:paraId="7B8B935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供电</w:t>
            </w:r>
          </w:p>
          <w:p w14:paraId="29E9B48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w:t>
            </w:r>
          </w:p>
        </w:tc>
        <w:tc>
          <w:tcPr>
            <w:tcW w:w="1655" w:type="dxa"/>
            <w:noWrap w:val="0"/>
            <w:vAlign w:val="center"/>
          </w:tcPr>
          <w:p w14:paraId="79AD623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变压器</w:t>
            </w:r>
          </w:p>
        </w:tc>
        <w:tc>
          <w:tcPr>
            <w:tcW w:w="1663" w:type="dxa"/>
            <w:noWrap w:val="0"/>
            <w:vAlign w:val="center"/>
          </w:tcPr>
          <w:p w14:paraId="2FDE35A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C7F5F7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8005F8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A2BE1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BCDC2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31BEA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1D0724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3E5BA5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0ED8F6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4C86EAB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469117C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高、低压</w:t>
            </w:r>
          </w:p>
          <w:p w14:paraId="0948322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开关设备</w:t>
            </w:r>
          </w:p>
        </w:tc>
        <w:tc>
          <w:tcPr>
            <w:tcW w:w="1663" w:type="dxa"/>
            <w:noWrap w:val="0"/>
            <w:vAlign w:val="center"/>
          </w:tcPr>
          <w:p w14:paraId="62A4FE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3AA77F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DFF22B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D5A2F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4B4028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80FF2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17B266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A021A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10C5E24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4DD1ED9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22544CC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配电箱、柜</w:t>
            </w:r>
          </w:p>
        </w:tc>
        <w:tc>
          <w:tcPr>
            <w:tcW w:w="1663" w:type="dxa"/>
            <w:noWrap w:val="0"/>
            <w:vAlign w:val="center"/>
          </w:tcPr>
          <w:p w14:paraId="5174415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05A11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ACC7E1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42CC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5D378A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49C09D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D34327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8E1C27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1645869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125" w:type="dxa"/>
            <w:vMerge w:val="continue"/>
            <w:noWrap w:val="0"/>
            <w:vAlign w:val="center"/>
          </w:tcPr>
          <w:p w14:paraId="6D5944C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655" w:type="dxa"/>
            <w:noWrap w:val="0"/>
            <w:vAlign w:val="center"/>
          </w:tcPr>
          <w:p w14:paraId="6E0231B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发电机</w:t>
            </w:r>
          </w:p>
        </w:tc>
        <w:tc>
          <w:tcPr>
            <w:tcW w:w="1663" w:type="dxa"/>
            <w:noWrap w:val="0"/>
            <w:vAlign w:val="center"/>
          </w:tcPr>
          <w:p w14:paraId="26C82D2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3671FD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61C72B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7602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35CA2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153AD7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6C70AF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5E4A6C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5F4A42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评审、修订、发放记录</w:t>
            </w:r>
          </w:p>
        </w:tc>
        <w:tc>
          <w:tcPr>
            <w:tcW w:w="1663" w:type="dxa"/>
            <w:noWrap w:val="0"/>
            <w:vAlign w:val="center"/>
          </w:tcPr>
          <w:p w14:paraId="31DE666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C92620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9CEE3A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A717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98" w:type="dxa"/>
            <w:vMerge w:val="restart"/>
            <w:noWrap w:val="0"/>
            <w:vAlign w:val="center"/>
          </w:tcPr>
          <w:p w14:paraId="42626EC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4</w:t>
            </w:r>
          </w:p>
        </w:tc>
        <w:tc>
          <w:tcPr>
            <w:tcW w:w="870" w:type="dxa"/>
            <w:vMerge w:val="restart"/>
            <w:noWrap w:val="0"/>
            <w:vAlign w:val="center"/>
          </w:tcPr>
          <w:p w14:paraId="4468777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应急救援</w:t>
            </w:r>
          </w:p>
        </w:tc>
        <w:tc>
          <w:tcPr>
            <w:tcW w:w="1284" w:type="dxa"/>
            <w:vMerge w:val="restart"/>
            <w:noWrap w:val="0"/>
            <w:vAlign w:val="center"/>
          </w:tcPr>
          <w:p w14:paraId="2112FA8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w:t>
            </w:r>
          </w:p>
          <w:p w14:paraId="73FD01D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预案</w:t>
            </w:r>
          </w:p>
          <w:p w14:paraId="620D819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编制、</w:t>
            </w:r>
          </w:p>
          <w:p w14:paraId="7F1C801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培训、</w:t>
            </w:r>
          </w:p>
          <w:p w14:paraId="0A87817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演练、</w:t>
            </w:r>
          </w:p>
          <w:p w14:paraId="217B293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修订</w:t>
            </w:r>
          </w:p>
        </w:tc>
        <w:tc>
          <w:tcPr>
            <w:tcW w:w="2748" w:type="dxa"/>
            <w:vMerge w:val="restart"/>
            <w:noWrap w:val="0"/>
            <w:vAlign w:val="center"/>
          </w:tcPr>
          <w:p w14:paraId="63C4647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企业应制定并实施本企业生产安全事故应急救援预案（小型或者微型企业等规模较小的生产经营单位，可以不制定生产安全事故应急救援预案，但应当编制现场处置方案，指定兼职的应急救援人员，并可以与邻近的应急救援队伍签订应急救援协议）</w:t>
            </w:r>
            <w:r>
              <w:rPr>
                <w:rFonts w:hint="eastAsia" w:ascii="仿宋_GB2312" w:hAnsi="仿宋_GB2312" w:eastAsia="仿宋_GB2312" w:cs="仿宋_GB2312"/>
                <w:b w:val="0"/>
                <w:bCs w:val="0"/>
                <w:sz w:val="28"/>
                <w:szCs w:val="28"/>
                <w:highlight w:val="none"/>
                <w:lang w:eastAsia="zh-CN"/>
              </w:rPr>
              <w:t>；</w:t>
            </w:r>
          </w:p>
          <w:p w14:paraId="637BE59A">
            <w:pPr>
              <w:keepNext w:val="0"/>
              <w:keepLines w:val="0"/>
              <w:pageBreakBefore w:val="0"/>
              <w:widowControl w:val="0"/>
              <w:tabs>
                <w:tab w:val="left" w:pos="1800"/>
              </w:tabs>
              <w:kinsoku/>
              <w:wordWrap/>
              <w:overflowPunct/>
              <w:topLinePunct w:val="0"/>
              <w:autoSpaceDE/>
              <w:autoSpaceDN/>
              <w:bidi w:val="0"/>
              <w:adjustRightInd w:val="0"/>
              <w:snapToGrid w:val="0"/>
              <w:spacing w:line="32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②应急救援预案应一年至少演练一次</w:t>
            </w:r>
            <w:r>
              <w:rPr>
                <w:rFonts w:hint="eastAsia" w:ascii="仿宋_GB2312" w:hAnsi="仿宋_GB2312" w:eastAsia="仿宋_GB2312" w:cs="仿宋_GB2312"/>
                <w:b w:val="0"/>
                <w:bCs w:val="0"/>
                <w:sz w:val="28"/>
                <w:szCs w:val="28"/>
                <w:highlight w:val="none"/>
                <w:lang w:eastAsia="zh-CN"/>
              </w:rPr>
              <w:t>；</w:t>
            </w:r>
          </w:p>
          <w:p w14:paraId="127AB9C9">
            <w:pPr>
              <w:keepNext w:val="0"/>
              <w:keepLines w:val="0"/>
              <w:pageBreakBefore w:val="0"/>
              <w:widowControl w:val="0"/>
              <w:tabs>
                <w:tab w:val="left" w:pos="1800"/>
              </w:tabs>
              <w:kinsoku/>
              <w:wordWrap/>
              <w:overflowPunct/>
              <w:topLinePunct w:val="0"/>
              <w:autoSpaceDE/>
              <w:autoSpaceDN/>
              <w:bidi w:val="0"/>
              <w:adjustRightInd w:val="0"/>
              <w:snapToGrid w:val="0"/>
              <w:spacing w:line="32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③应急预案演练前应组织参演人员进行教育培训</w:t>
            </w:r>
            <w:r>
              <w:rPr>
                <w:rFonts w:hint="eastAsia" w:ascii="仿宋_GB2312" w:hAnsi="仿宋_GB2312" w:eastAsia="仿宋_GB2312" w:cs="仿宋_GB2312"/>
                <w:b w:val="0"/>
                <w:bCs w:val="0"/>
                <w:sz w:val="28"/>
                <w:szCs w:val="28"/>
                <w:highlight w:val="none"/>
                <w:lang w:eastAsia="zh-CN"/>
              </w:rPr>
              <w:t>；</w:t>
            </w:r>
          </w:p>
          <w:p w14:paraId="26244DE2">
            <w:pPr>
              <w:keepNext w:val="0"/>
              <w:keepLines w:val="0"/>
              <w:pageBreakBefore w:val="0"/>
              <w:widowControl w:val="0"/>
              <w:tabs>
                <w:tab w:val="left" w:pos="1800"/>
              </w:tabs>
              <w:kinsoku/>
              <w:wordWrap/>
              <w:overflowPunct/>
              <w:topLinePunct w:val="0"/>
              <w:autoSpaceDE/>
              <w:autoSpaceDN/>
              <w:bidi w:val="0"/>
              <w:adjustRightInd w:val="0"/>
              <w:snapToGrid w:val="0"/>
              <w:spacing w:line="32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④演练后应对演练情况及效果进行评估，编写评估报告</w:t>
            </w:r>
            <w:r>
              <w:rPr>
                <w:rFonts w:hint="eastAsia" w:ascii="仿宋_GB2312" w:hAnsi="仿宋_GB2312" w:eastAsia="仿宋_GB2312" w:cs="仿宋_GB2312"/>
                <w:b w:val="0"/>
                <w:bCs w:val="0"/>
                <w:sz w:val="28"/>
                <w:szCs w:val="28"/>
                <w:highlight w:val="none"/>
                <w:lang w:eastAsia="zh-CN"/>
              </w:rPr>
              <w:t>；</w:t>
            </w:r>
          </w:p>
          <w:p w14:paraId="6468AE5A">
            <w:pPr>
              <w:keepNext w:val="0"/>
              <w:keepLines w:val="0"/>
              <w:pageBreakBefore w:val="0"/>
              <w:widowControl w:val="0"/>
              <w:tabs>
                <w:tab w:val="left" w:pos="1800"/>
              </w:tabs>
              <w:kinsoku/>
              <w:wordWrap/>
              <w:overflowPunct/>
              <w:topLinePunct w:val="0"/>
              <w:autoSpaceDE/>
              <w:autoSpaceDN/>
              <w:bidi w:val="0"/>
              <w:adjustRightInd w:val="0"/>
              <w:snapToGrid w:val="0"/>
              <w:spacing w:line="32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⑤至少3年一次对应急救援预案进行必要修订，并进行评审</w:t>
            </w:r>
            <w:r>
              <w:rPr>
                <w:rFonts w:hint="eastAsia" w:ascii="仿宋_GB2312" w:hAnsi="仿宋_GB2312" w:eastAsia="仿宋_GB2312" w:cs="仿宋_GB2312"/>
                <w:b w:val="0"/>
                <w:bCs w:val="0"/>
                <w:sz w:val="28"/>
                <w:szCs w:val="28"/>
                <w:highlight w:val="none"/>
                <w:lang w:eastAsia="zh-CN"/>
              </w:rPr>
              <w:t>。</w:t>
            </w:r>
          </w:p>
        </w:tc>
        <w:tc>
          <w:tcPr>
            <w:tcW w:w="5099" w:type="dxa"/>
            <w:gridSpan w:val="3"/>
            <w:noWrap w:val="0"/>
            <w:vAlign w:val="center"/>
          </w:tcPr>
          <w:p w14:paraId="4733545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综合、专项应急预案</w:t>
            </w:r>
          </w:p>
        </w:tc>
        <w:tc>
          <w:tcPr>
            <w:tcW w:w="1663" w:type="dxa"/>
            <w:noWrap w:val="0"/>
            <w:vAlign w:val="center"/>
          </w:tcPr>
          <w:p w14:paraId="757F8DB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8337B7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00E079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5830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798" w:type="dxa"/>
            <w:vMerge w:val="continue"/>
            <w:noWrap w:val="0"/>
            <w:vAlign w:val="center"/>
          </w:tcPr>
          <w:p w14:paraId="7A644B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16C0E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84D2D0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E79A88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932251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现场处置方案</w:t>
            </w:r>
          </w:p>
        </w:tc>
        <w:tc>
          <w:tcPr>
            <w:tcW w:w="1663" w:type="dxa"/>
            <w:noWrap w:val="0"/>
            <w:vAlign w:val="center"/>
          </w:tcPr>
          <w:p w14:paraId="72D01D7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1EDE95B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B72620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B76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trPr>
        <w:tc>
          <w:tcPr>
            <w:tcW w:w="798" w:type="dxa"/>
            <w:vMerge w:val="continue"/>
            <w:noWrap w:val="0"/>
            <w:vAlign w:val="center"/>
          </w:tcPr>
          <w:p w14:paraId="0D6B77D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8739B2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8C9505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1DBD04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623396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应急预案教育培训计划</w:t>
            </w:r>
          </w:p>
        </w:tc>
        <w:tc>
          <w:tcPr>
            <w:tcW w:w="1663" w:type="dxa"/>
            <w:noWrap w:val="0"/>
            <w:vAlign w:val="center"/>
          </w:tcPr>
          <w:p w14:paraId="7E8A0A9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C00004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F92093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D224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6" w:hRule="atLeast"/>
        </w:trPr>
        <w:tc>
          <w:tcPr>
            <w:tcW w:w="798" w:type="dxa"/>
            <w:vMerge w:val="continue"/>
            <w:noWrap w:val="0"/>
            <w:vAlign w:val="center"/>
          </w:tcPr>
          <w:p w14:paraId="708389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E923B4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6CB77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F22F10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796262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应急预案教育培训记录</w:t>
            </w:r>
          </w:p>
        </w:tc>
        <w:tc>
          <w:tcPr>
            <w:tcW w:w="1663" w:type="dxa"/>
            <w:noWrap w:val="0"/>
            <w:vAlign w:val="center"/>
          </w:tcPr>
          <w:p w14:paraId="488133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042BC5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EC722D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1A35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4" w:hRule="atLeast"/>
        </w:trPr>
        <w:tc>
          <w:tcPr>
            <w:tcW w:w="798" w:type="dxa"/>
            <w:vMerge w:val="continue"/>
            <w:noWrap w:val="0"/>
            <w:vAlign w:val="center"/>
          </w:tcPr>
          <w:p w14:paraId="74D899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402B58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44D959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E76DB1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16834A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应急预案演练方案</w:t>
            </w:r>
          </w:p>
        </w:tc>
        <w:tc>
          <w:tcPr>
            <w:tcW w:w="1663" w:type="dxa"/>
            <w:noWrap w:val="0"/>
            <w:vAlign w:val="center"/>
          </w:tcPr>
          <w:p w14:paraId="40FC6D4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DD6B33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A34AD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5E9D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3" w:hRule="atLeast"/>
        </w:trPr>
        <w:tc>
          <w:tcPr>
            <w:tcW w:w="798" w:type="dxa"/>
            <w:vMerge w:val="continue"/>
            <w:noWrap w:val="0"/>
            <w:vAlign w:val="center"/>
          </w:tcPr>
          <w:p w14:paraId="3B28E5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6AF69D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4BFAD6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13E397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F5E9D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应急演练记录</w:t>
            </w:r>
          </w:p>
        </w:tc>
        <w:tc>
          <w:tcPr>
            <w:tcW w:w="1663" w:type="dxa"/>
            <w:noWrap w:val="0"/>
            <w:vAlign w:val="center"/>
          </w:tcPr>
          <w:p w14:paraId="75BE78C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6F82CF0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65792A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7A2C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9" w:hRule="atLeast"/>
        </w:trPr>
        <w:tc>
          <w:tcPr>
            <w:tcW w:w="798" w:type="dxa"/>
            <w:vMerge w:val="continue"/>
            <w:noWrap w:val="0"/>
            <w:vAlign w:val="center"/>
          </w:tcPr>
          <w:p w14:paraId="4C28101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93B582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63EAA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28D0D2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A2DD38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应急预案演练评估报告</w:t>
            </w:r>
          </w:p>
        </w:tc>
        <w:tc>
          <w:tcPr>
            <w:tcW w:w="1663" w:type="dxa"/>
            <w:noWrap w:val="0"/>
            <w:vAlign w:val="center"/>
          </w:tcPr>
          <w:p w14:paraId="14DF4F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C2CAB9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A5706C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223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2" w:hRule="atLeast"/>
        </w:trPr>
        <w:tc>
          <w:tcPr>
            <w:tcW w:w="798" w:type="dxa"/>
            <w:vMerge w:val="continue"/>
            <w:noWrap w:val="0"/>
            <w:vAlign w:val="center"/>
          </w:tcPr>
          <w:p w14:paraId="1E88D60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EA24CB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1818E0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5CF6B3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F1DC78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预案评审、修订记录</w:t>
            </w:r>
          </w:p>
        </w:tc>
        <w:tc>
          <w:tcPr>
            <w:tcW w:w="1663" w:type="dxa"/>
            <w:noWrap w:val="0"/>
            <w:vAlign w:val="center"/>
          </w:tcPr>
          <w:p w14:paraId="74BBA80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521DE0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111EA1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74A2E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3FD289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3E60A4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50E9014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w:t>
            </w:r>
          </w:p>
          <w:p w14:paraId="391A5A8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救援</w:t>
            </w:r>
          </w:p>
          <w:p w14:paraId="1146313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器材</w:t>
            </w:r>
          </w:p>
        </w:tc>
        <w:tc>
          <w:tcPr>
            <w:tcW w:w="2748" w:type="dxa"/>
            <w:vMerge w:val="restart"/>
            <w:noWrap w:val="0"/>
            <w:vAlign w:val="center"/>
          </w:tcPr>
          <w:p w14:paraId="6AE99092">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应根据需要配备应急救援器材，按规定对应急救援器材进行日常维护、检查检测和更新，状态良好。</w:t>
            </w:r>
          </w:p>
        </w:tc>
        <w:tc>
          <w:tcPr>
            <w:tcW w:w="5099" w:type="dxa"/>
            <w:gridSpan w:val="3"/>
            <w:noWrap w:val="0"/>
            <w:vAlign w:val="center"/>
          </w:tcPr>
          <w:p w14:paraId="547E1F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应急救援器材台账</w:t>
            </w:r>
          </w:p>
        </w:tc>
        <w:tc>
          <w:tcPr>
            <w:tcW w:w="1663" w:type="dxa"/>
            <w:noWrap w:val="0"/>
            <w:vAlign w:val="center"/>
          </w:tcPr>
          <w:p w14:paraId="4A12C8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345589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D47B3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F157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FA99FA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405F20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E07CA1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F3F34A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77913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应急救援器材检查记录</w:t>
            </w:r>
          </w:p>
        </w:tc>
        <w:tc>
          <w:tcPr>
            <w:tcW w:w="1663" w:type="dxa"/>
            <w:noWrap w:val="0"/>
            <w:vAlign w:val="center"/>
          </w:tcPr>
          <w:p w14:paraId="601E50B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A8D28F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43FB4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885E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0" w:hRule="atLeast"/>
        </w:trPr>
        <w:tc>
          <w:tcPr>
            <w:tcW w:w="798" w:type="dxa"/>
            <w:vMerge w:val="restart"/>
            <w:noWrap w:val="0"/>
            <w:vAlign w:val="center"/>
          </w:tcPr>
          <w:p w14:paraId="3D7EB79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5</w:t>
            </w:r>
          </w:p>
        </w:tc>
        <w:tc>
          <w:tcPr>
            <w:tcW w:w="870" w:type="dxa"/>
            <w:vMerge w:val="restart"/>
            <w:noWrap w:val="0"/>
            <w:vAlign w:val="center"/>
          </w:tcPr>
          <w:p w14:paraId="5A32A01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教育培训</w:t>
            </w:r>
          </w:p>
        </w:tc>
        <w:tc>
          <w:tcPr>
            <w:tcW w:w="1284" w:type="dxa"/>
            <w:vMerge w:val="restart"/>
            <w:noWrap w:val="0"/>
            <w:vAlign w:val="center"/>
          </w:tcPr>
          <w:p w14:paraId="36EDB1F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教育</w:t>
            </w:r>
          </w:p>
          <w:p w14:paraId="4BA87F6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培训</w:t>
            </w:r>
          </w:p>
          <w:p w14:paraId="3E1CC35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总体</w:t>
            </w:r>
          </w:p>
          <w:p w14:paraId="540E5AC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要求</w:t>
            </w:r>
          </w:p>
        </w:tc>
        <w:tc>
          <w:tcPr>
            <w:tcW w:w="2748" w:type="dxa"/>
            <w:vMerge w:val="restart"/>
            <w:noWrap w:val="0"/>
            <w:vAlign w:val="center"/>
          </w:tcPr>
          <w:p w14:paraId="48465AE7">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企业应于年初根据培训需求制定本企业全年安全教育培训计划，按计划对从业人员进行安全教育培训，并建立本年度教育培训档案。</w:t>
            </w:r>
          </w:p>
          <w:p w14:paraId="5F2D9A3D">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①培训内容：法律规章、制度规程、安全操作技能、设施使用、应急技能、其他</w:t>
            </w:r>
            <w:r>
              <w:rPr>
                <w:rFonts w:hint="eastAsia" w:ascii="仿宋_GB2312" w:hAnsi="仿宋_GB2312" w:eastAsia="仿宋_GB2312" w:cs="仿宋_GB2312"/>
                <w:b w:val="0"/>
                <w:bCs w:val="0"/>
                <w:sz w:val="28"/>
                <w:szCs w:val="28"/>
                <w:highlight w:val="none"/>
                <w:lang w:eastAsia="zh-CN"/>
              </w:rPr>
              <w:t>；</w:t>
            </w:r>
          </w:p>
          <w:p w14:paraId="084E7460">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②培训范围：企业主要负责人、安全管理人员、各岗位员工，针对岗位特点开展通用类、专业类培训</w:t>
            </w:r>
            <w:r>
              <w:rPr>
                <w:rFonts w:hint="eastAsia" w:ascii="仿宋_GB2312" w:hAnsi="仿宋_GB2312" w:eastAsia="仿宋_GB2312" w:cs="仿宋_GB2312"/>
                <w:b w:val="0"/>
                <w:bCs w:val="0"/>
                <w:sz w:val="28"/>
                <w:szCs w:val="28"/>
                <w:highlight w:val="none"/>
                <w:lang w:eastAsia="zh-CN"/>
              </w:rPr>
              <w:t>；</w:t>
            </w:r>
          </w:p>
          <w:p w14:paraId="00B93476">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③培训档案内容：教育和培训的内容或者影像资料；教育和培训的签到表和培训学时记录；考试试卷或者从业人员本人签名的考核记录</w:t>
            </w:r>
            <w:r>
              <w:rPr>
                <w:rFonts w:hint="eastAsia" w:ascii="仿宋_GB2312" w:hAnsi="仿宋_GB2312" w:eastAsia="仿宋_GB2312" w:cs="仿宋_GB2312"/>
                <w:b w:val="0"/>
                <w:bCs w:val="0"/>
                <w:sz w:val="28"/>
                <w:szCs w:val="28"/>
                <w:highlight w:val="none"/>
                <w:lang w:eastAsia="zh-CN"/>
              </w:rPr>
              <w:t>。</w:t>
            </w:r>
          </w:p>
          <w:p w14:paraId="1DFFA33C">
            <w:pPr>
              <w:keepNext w:val="0"/>
              <w:keepLines w:val="0"/>
              <w:pageBreakBefore w:val="0"/>
              <w:widowControl w:val="0"/>
              <w:kinsoku/>
              <w:wordWrap/>
              <w:overflowPunct/>
              <w:topLinePunct w:val="0"/>
              <w:autoSpaceDE/>
              <w:autoSpaceDN/>
              <w:bidi w:val="0"/>
              <w:adjustRightInd w:val="0"/>
              <w:snapToGrid w:val="0"/>
              <w:spacing w:line="32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小型或者微型企业等规模较小的生产经营单位安全生产教育和培训档案，应至少包括“教育和培训的内容或者影像资料”的内容。</w:t>
            </w:r>
          </w:p>
        </w:tc>
        <w:tc>
          <w:tcPr>
            <w:tcW w:w="5099" w:type="dxa"/>
            <w:gridSpan w:val="3"/>
            <w:noWrap w:val="0"/>
            <w:vAlign w:val="center"/>
          </w:tcPr>
          <w:p w14:paraId="219F504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p w14:paraId="3D0B763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p w14:paraId="01CD50B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各部门培训需求</w:t>
            </w:r>
          </w:p>
          <w:p w14:paraId="51DC635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p w14:paraId="3EDBFAE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1663" w:type="dxa"/>
            <w:noWrap w:val="0"/>
            <w:vAlign w:val="center"/>
          </w:tcPr>
          <w:p w14:paraId="10AB053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22C625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88DF1F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2E434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03" w:hRule="atLeast"/>
        </w:trPr>
        <w:tc>
          <w:tcPr>
            <w:tcW w:w="798" w:type="dxa"/>
            <w:vMerge w:val="continue"/>
            <w:noWrap w:val="0"/>
            <w:vAlign w:val="center"/>
          </w:tcPr>
          <w:p w14:paraId="64DD4E1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8F088C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DD6C27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8F4EE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B77049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安全教育培训计划</w:t>
            </w:r>
          </w:p>
        </w:tc>
        <w:tc>
          <w:tcPr>
            <w:tcW w:w="1663" w:type="dxa"/>
            <w:noWrap w:val="0"/>
            <w:vAlign w:val="center"/>
          </w:tcPr>
          <w:p w14:paraId="360322C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07C6BA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9F4EB4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A9804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98" w:type="dxa"/>
            <w:vMerge w:val="continue"/>
            <w:noWrap w:val="0"/>
            <w:vAlign w:val="center"/>
          </w:tcPr>
          <w:p w14:paraId="283EBC3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0AC24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B67DCE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D5A3AA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FFD02E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安全教育培训记录</w:t>
            </w:r>
          </w:p>
        </w:tc>
        <w:tc>
          <w:tcPr>
            <w:tcW w:w="1663" w:type="dxa"/>
            <w:noWrap w:val="0"/>
            <w:vAlign w:val="center"/>
          </w:tcPr>
          <w:p w14:paraId="739BE08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118D06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E32D5B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482BE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7" w:hRule="atLeast"/>
        </w:trPr>
        <w:tc>
          <w:tcPr>
            <w:tcW w:w="798" w:type="dxa"/>
            <w:vMerge w:val="continue"/>
            <w:noWrap w:val="0"/>
            <w:vAlign w:val="center"/>
          </w:tcPr>
          <w:p w14:paraId="6F24ED4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7DDD7F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9B9EE4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642D3E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8F8154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教育培训档案</w:t>
            </w:r>
          </w:p>
        </w:tc>
        <w:tc>
          <w:tcPr>
            <w:tcW w:w="1663" w:type="dxa"/>
            <w:noWrap w:val="0"/>
            <w:vAlign w:val="center"/>
          </w:tcPr>
          <w:p w14:paraId="156B2B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96158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93FEB9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BB4A3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9" w:hRule="atLeast"/>
        </w:trPr>
        <w:tc>
          <w:tcPr>
            <w:tcW w:w="798" w:type="dxa"/>
            <w:vMerge w:val="continue"/>
            <w:noWrap w:val="0"/>
            <w:vAlign w:val="center"/>
          </w:tcPr>
          <w:p w14:paraId="03555D0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D77C7B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6177F8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w:t>
            </w:r>
          </w:p>
          <w:p w14:paraId="6587915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作业</w:t>
            </w:r>
          </w:p>
          <w:p w14:paraId="4B05FBA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人员</w:t>
            </w:r>
          </w:p>
          <w:p w14:paraId="2D46DB6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资格</w:t>
            </w:r>
          </w:p>
          <w:p w14:paraId="7316DA5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与培训</w:t>
            </w:r>
          </w:p>
        </w:tc>
        <w:tc>
          <w:tcPr>
            <w:tcW w:w="2748" w:type="dxa"/>
            <w:vMerge w:val="restart"/>
            <w:noWrap w:val="0"/>
            <w:vAlign w:val="center"/>
          </w:tcPr>
          <w:p w14:paraId="3602E6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①从事特种作业的人员</w:t>
            </w:r>
            <w:r>
              <w:rPr>
                <w:rFonts w:hint="eastAsia" w:ascii="仿宋_GB2312" w:hAnsi="仿宋_GB2312" w:eastAsia="仿宋_GB2312" w:cs="仿宋_GB2312"/>
                <w:b w:val="0"/>
                <w:bCs w:val="0"/>
                <w:sz w:val="28"/>
                <w:szCs w:val="28"/>
                <w:highlight w:val="none"/>
                <w:lang w:eastAsia="zh-CN"/>
              </w:rPr>
              <w:t>应</w:t>
            </w:r>
            <w:r>
              <w:rPr>
                <w:rFonts w:hint="eastAsia" w:ascii="仿宋_GB2312" w:hAnsi="仿宋_GB2312" w:eastAsia="仿宋_GB2312" w:cs="仿宋_GB2312"/>
                <w:b w:val="0"/>
                <w:bCs w:val="0"/>
                <w:sz w:val="28"/>
                <w:szCs w:val="28"/>
                <w:highlight w:val="none"/>
              </w:rPr>
              <w:t>参加专业资格培训、取证后方能上岗</w:t>
            </w:r>
            <w:r>
              <w:rPr>
                <w:rFonts w:hint="eastAsia" w:ascii="仿宋_GB2312" w:hAnsi="仿宋_GB2312" w:eastAsia="仿宋_GB2312" w:cs="仿宋_GB2312"/>
                <w:b w:val="0"/>
                <w:bCs w:val="0"/>
                <w:sz w:val="28"/>
                <w:szCs w:val="28"/>
                <w:highlight w:val="none"/>
                <w:lang w:eastAsia="zh-CN"/>
              </w:rPr>
              <w:t>；</w:t>
            </w:r>
          </w:p>
          <w:p w14:paraId="34DB503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②特种作业人员</w:t>
            </w:r>
            <w:r>
              <w:rPr>
                <w:rFonts w:hint="eastAsia" w:ascii="仿宋_GB2312" w:hAnsi="仿宋_GB2312" w:eastAsia="仿宋_GB2312" w:cs="仿宋_GB2312"/>
                <w:b w:val="0"/>
                <w:bCs w:val="0"/>
                <w:sz w:val="28"/>
                <w:szCs w:val="28"/>
                <w:highlight w:val="none"/>
                <w:lang w:eastAsia="zh-CN"/>
              </w:rPr>
              <w:t>应</w:t>
            </w:r>
            <w:r>
              <w:rPr>
                <w:rFonts w:hint="eastAsia" w:ascii="仿宋_GB2312" w:hAnsi="仿宋_GB2312" w:eastAsia="仿宋_GB2312" w:cs="仿宋_GB2312"/>
                <w:b w:val="0"/>
                <w:bCs w:val="0"/>
                <w:sz w:val="28"/>
                <w:szCs w:val="28"/>
                <w:highlight w:val="none"/>
              </w:rPr>
              <w:t>定期进行特种作业操作证件的复审，确保证件在有效期内。</w:t>
            </w:r>
          </w:p>
        </w:tc>
        <w:tc>
          <w:tcPr>
            <w:tcW w:w="5099" w:type="dxa"/>
            <w:gridSpan w:val="3"/>
            <w:noWrap w:val="0"/>
            <w:vAlign w:val="center"/>
          </w:tcPr>
          <w:p w14:paraId="6CB376E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特种作业人员台账</w:t>
            </w:r>
          </w:p>
        </w:tc>
        <w:tc>
          <w:tcPr>
            <w:tcW w:w="1663" w:type="dxa"/>
            <w:noWrap w:val="0"/>
            <w:vAlign w:val="center"/>
          </w:tcPr>
          <w:p w14:paraId="2567A4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B8D48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D873C3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183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56B0EBF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272C7B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D8321F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10EA56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restart"/>
            <w:noWrap w:val="0"/>
            <w:vAlign w:val="center"/>
          </w:tcPr>
          <w:p w14:paraId="70A5831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特种作业人员资格证及有效期</w:t>
            </w:r>
          </w:p>
        </w:tc>
        <w:tc>
          <w:tcPr>
            <w:tcW w:w="2780" w:type="dxa"/>
            <w:gridSpan w:val="2"/>
            <w:noWrap w:val="0"/>
            <w:vAlign w:val="center"/>
          </w:tcPr>
          <w:p w14:paraId="4DF6001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电工</w:t>
            </w:r>
          </w:p>
        </w:tc>
        <w:tc>
          <w:tcPr>
            <w:tcW w:w="1663" w:type="dxa"/>
            <w:vMerge w:val="restart"/>
            <w:noWrap w:val="0"/>
            <w:vAlign w:val="center"/>
          </w:tcPr>
          <w:p w14:paraId="3844FA4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363377A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vMerge w:val="restart"/>
            <w:noWrap w:val="0"/>
            <w:vAlign w:val="top"/>
          </w:tcPr>
          <w:p w14:paraId="27716C7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780CE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2AEF9B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0BDCD7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444136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768D74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5889BA6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DFB1E7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锅炉工</w:t>
            </w:r>
          </w:p>
        </w:tc>
        <w:tc>
          <w:tcPr>
            <w:tcW w:w="1663" w:type="dxa"/>
            <w:vMerge w:val="continue"/>
            <w:noWrap w:val="0"/>
            <w:vAlign w:val="center"/>
          </w:tcPr>
          <w:p w14:paraId="24357C7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p>
        </w:tc>
        <w:tc>
          <w:tcPr>
            <w:tcW w:w="794" w:type="dxa"/>
            <w:vMerge w:val="continue"/>
            <w:noWrap w:val="0"/>
            <w:vAlign w:val="top"/>
          </w:tcPr>
          <w:p w14:paraId="5855BD2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1CC5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trPr>
        <w:tc>
          <w:tcPr>
            <w:tcW w:w="798" w:type="dxa"/>
            <w:vMerge w:val="continue"/>
            <w:noWrap w:val="0"/>
            <w:vAlign w:val="center"/>
          </w:tcPr>
          <w:p w14:paraId="7746F89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34F989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E9EDC9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350DFD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top"/>
          </w:tcPr>
          <w:p w14:paraId="583B719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6446D18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消防值班室操作人员</w:t>
            </w:r>
          </w:p>
        </w:tc>
        <w:tc>
          <w:tcPr>
            <w:tcW w:w="1663" w:type="dxa"/>
            <w:vMerge w:val="continue"/>
            <w:noWrap w:val="0"/>
            <w:vAlign w:val="center"/>
          </w:tcPr>
          <w:p w14:paraId="7BD457D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p>
        </w:tc>
        <w:tc>
          <w:tcPr>
            <w:tcW w:w="794" w:type="dxa"/>
            <w:vMerge w:val="continue"/>
            <w:noWrap w:val="0"/>
            <w:vAlign w:val="top"/>
          </w:tcPr>
          <w:p w14:paraId="1A0775F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DFEB9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9" w:hRule="atLeast"/>
        </w:trPr>
        <w:tc>
          <w:tcPr>
            <w:tcW w:w="798" w:type="dxa"/>
            <w:vMerge w:val="continue"/>
            <w:noWrap w:val="0"/>
            <w:vAlign w:val="center"/>
          </w:tcPr>
          <w:p w14:paraId="75C2843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EE277D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noWrap w:val="0"/>
            <w:vAlign w:val="center"/>
          </w:tcPr>
          <w:p w14:paraId="5972E0A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新招录、</w:t>
            </w:r>
          </w:p>
          <w:p w14:paraId="583E8B8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换岗、</w:t>
            </w:r>
          </w:p>
          <w:p w14:paraId="4AD318B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复岗</w:t>
            </w:r>
          </w:p>
          <w:p w14:paraId="712513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员工</w:t>
            </w:r>
          </w:p>
          <w:p w14:paraId="23746C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培训</w:t>
            </w:r>
          </w:p>
        </w:tc>
        <w:tc>
          <w:tcPr>
            <w:tcW w:w="2748" w:type="dxa"/>
            <w:noWrap w:val="0"/>
            <w:vAlign w:val="center"/>
          </w:tcPr>
          <w:p w14:paraId="79B645F4">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①企业应</w:t>
            </w:r>
            <w:r>
              <w:rPr>
                <w:rFonts w:hint="eastAsia" w:ascii="仿宋_GB2312" w:hAnsi="仿宋_GB2312" w:eastAsia="仿宋_GB2312" w:cs="仿宋_GB2312"/>
                <w:b w:val="0"/>
                <w:bCs w:val="0"/>
                <w:sz w:val="28"/>
                <w:szCs w:val="28"/>
                <w:highlight w:val="none"/>
                <w:lang w:eastAsia="zh-CN"/>
              </w:rPr>
              <w:t>对</w:t>
            </w:r>
            <w:r>
              <w:rPr>
                <w:rFonts w:hint="eastAsia" w:ascii="仿宋_GB2312" w:hAnsi="仿宋_GB2312" w:eastAsia="仿宋_GB2312" w:cs="仿宋_GB2312"/>
                <w:b w:val="0"/>
                <w:bCs w:val="0"/>
                <w:sz w:val="28"/>
                <w:szCs w:val="28"/>
                <w:highlight w:val="none"/>
              </w:rPr>
              <w:t>新招用、换岗、离岗6个月以上的人员，进行安全生产教育和培训</w:t>
            </w:r>
            <w:r>
              <w:rPr>
                <w:rFonts w:hint="eastAsia" w:ascii="仿宋_GB2312" w:hAnsi="仿宋_GB2312" w:eastAsia="仿宋_GB2312" w:cs="仿宋_GB2312"/>
                <w:b w:val="0"/>
                <w:bCs w:val="0"/>
                <w:sz w:val="28"/>
                <w:szCs w:val="28"/>
                <w:highlight w:val="none"/>
                <w:lang w:eastAsia="zh-CN"/>
              </w:rPr>
              <w:t>；</w:t>
            </w:r>
          </w:p>
          <w:p w14:paraId="343FCEF3">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②未经安全生产教育和培训合格的人员，不得安排上岗作业。</w:t>
            </w:r>
          </w:p>
        </w:tc>
        <w:tc>
          <w:tcPr>
            <w:tcW w:w="5099" w:type="dxa"/>
            <w:gridSpan w:val="3"/>
            <w:noWrap w:val="0"/>
            <w:vAlign w:val="center"/>
          </w:tcPr>
          <w:p w14:paraId="137F6B6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相关人员教育培训档案</w:t>
            </w:r>
          </w:p>
        </w:tc>
        <w:tc>
          <w:tcPr>
            <w:tcW w:w="1663" w:type="dxa"/>
            <w:noWrap w:val="0"/>
            <w:vAlign w:val="center"/>
          </w:tcPr>
          <w:p w14:paraId="19E3D2D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9A0B95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194C41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6F6B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3E7C38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A78B7A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noWrap w:val="0"/>
            <w:vAlign w:val="center"/>
          </w:tcPr>
          <w:p w14:paraId="3634C8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“四新”教育</w:t>
            </w:r>
          </w:p>
        </w:tc>
        <w:tc>
          <w:tcPr>
            <w:tcW w:w="2748" w:type="dxa"/>
            <w:noWrap w:val="0"/>
            <w:vAlign w:val="center"/>
          </w:tcPr>
          <w:p w14:paraId="2B741608">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①企业应对采用新工艺、新技术、新材料或使用新设备的人员，进行安全生产教育和培训</w:t>
            </w:r>
            <w:r>
              <w:rPr>
                <w:rFonts w:hint="eastAsia" w:ascii="仿宋_GB2312" w:hAnsi="仿宋_GB2312" w:eastAsia="仿宋_GB2312" w:cs="仿宋_GB2312"/>
                <w:b w:val="0"/>
                <w:bCs w:val="0"/>
                <w:sz w:val="28"/>
                <w:szCs w:val="28"/>
                <w:highlight w:val="none"/>
                <w:lang w:eastAsia="zh-CN"/>
              </w:rPr>
              <w:t>；</w:t>
            </w:r>
          </w:p>
          <w:p w14:paraId="18F223F5">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 ②未经安全生产教育和培训合格的人员，不得安排上岗作业。</w:t>
            </w:r>
          </w:p>
        </w:tc>
        <w:tc>
          <w:tcPr>
            <w:tcW w:w="5099" w:type="dxa"/>
            <w:gridSpan w:val="3"/>
            <w:noWrap w:val="0"/>
            <w:vAlign w:val="center"/>
          </w:tcPr>
          <w:p w14:paraId="4C31B8F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相关人员教育培训档案</w:t>
            </w:r>
          </w:p>
        </w:tc>
        <w:tc>
          <w:tcPr>
            <w:tcW w:w="1663" w:type="dxa"/>
            <w:noWrap w:val="0"/>
            <w:vAlign w:val="center"/>
          </w:tcPr>
          <w:p w14:paraId="63F637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A3DFF5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CE5B97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209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798" w:type="dxa"/>
            <w:vMerge w:val="restart"/>
            <w:noWrap w:val="0"/>
            <w:vAlign w:val="center"/>
          </w:tcPr>
          <w:p w14:paraId="2D623D8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6</w:t>
            </w:r>
          </w:p>
        </w:tc>
        <w:tc>
          <w:tcPr>
            <w:tcW w:w="870" w:type="dxa"/>
            <w:vMerge w:val="restart"/>
            <w:noWrap w:val="0"/>
            <w:vAlign w:val="center"/>
          </w:tcPr>
          <w:p w14:paraId="1E4ED99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安全风险辨识与</w:t>
            </w:r>
          </w:p>
          <w:p w14:paraId="6970F0B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控制</w:t>
            </w:r>
          </w:p>
        </w:tc>
        <w:tc>
          <w:tcPr>
            <w:tcW w:w="1284" w:type="dxa"/>
            <w:vMerge w:val="restart"/>
            <w:noWrap w:val="0"/>
            <w:vAlign w:val="center"/>
          </w:tcPr>
          <w:p w14:paraId="33BE1B0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风险</w:t>
            </w:r>
          </w:p>
          <w:p w14:paraId="24B2EC6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辨识</w:t>
            </w:r>
          </w:p>
          <w:p w14:paraId="1AEC207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评估</w:t>
            </w:r>
          </w:p>
        </w:tc>
        <w:tc>
          <w:tcPr>
            <w:tcW w:w="2748" w:type="dxa"/>
            <w:vMerge w:val="restart"/>
            <w:noWrap w:val="0"/>
            <w:vAlign w:val="center"/>
          </w:tcPr>
          <w:p w14:paraId="5A6F035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①根据《安全风险分级管控制度》，开展安全风险</w:t>
            </w:r>
            <w:r>
              <w:rPr>
                <w:rFonts w:hint="eastAsia" w:ascii="仿宋_GB2312" w:hAnsi="仿宋_GB2312" w:eastAsia="仿宋_GB2312" w:cs="仿宋_GB2312"/>
                <w:b w:val="0"/>
                <w:bCs w:val="0"/>
                <w:sz w:val="28"/>
                <w:szCs w:val="28"/>
                <w:highlight w:val="none"/>
                <w:lang w:eastAsia="zh-CN"/>
              </w:rPr>
              <w:t>辨识</w:t>
            </w:r>
            <w:r>
              <w:rPr>
                <w:rFonts w:hint="eastAsia" w:ascii="仿宋_GB2312" w:hAnsi="仿宋_GB2312" w:eastAsia="仿宋_GB2312" w:cs="仿宋_GB2312"/>
                <w:b w:val="0"/>
                <w:bCs w:val="0"/>
                <w:sz w:val="28"/>
                <w:szCs w:val="28"/>
                <w:highlight w:val="none"/>
              </w:rPr>
              <w:t>与评估，确定安全风险点、类别、等级，形成安全风险清单</w:t>
            </w:r>
            <w:r>
              <w:rPr>
                <w:rFonts w:hint="eastAsia" w:ascii="仿宋_GB2312" w:hAnsi="仿宋_GB2312" w:eastAsia="仿宋_GB2312" w:cs="仿宋_GB2312"/>
                <w:b w:val="0"/>
                <w:bCs w:val="0"/>
                <w:sz w:val="28"/>
                <w:szCs w:val="28"/>
                <w:highlight w:val="none"/>
                <w:lang w:eastAsia="zh-CN"/>
              </w:rPr>
              <w:t>；</w:t>
            </w:r>
          </w:p>
          <w:p w14:paraId="6C2FBFB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②明确安全风险预防和控制措施。</w:t>
            </w:r>
          </w:p>
          <w:p w14:paraId="0D14F40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建议委托专业机构协助开展安全风险辨识评估工作。</w:t>
            </w:r>
          </w:p>
        </w:tc>
        <w:tc>
          <w:tcPr>
            <w:tcW w:w="5099" w:type="dxa"/>
            <w:gridSpan w:val="3"/>
            <w:noWrap w:val="0"/>
            <w:vAlign w:val="center"/>
          </w:tcPr>
          <w:p w14:paraId="2D908F9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安全风险清单</w:t>
            </w:r>
          </w:p>
        </w:tc>
        <w:tc>
          <w:tcPr>
            <w:tcW w:w="1663" w:type="dxa"/>
            <w:noWrap w:val="0"/>
            <w:vAlign w:val="center"/>
          </w:tcPr>
          <w:p w14:paraId="6FE15FA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C4C5AA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E3C35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84B1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6" w:hRule="atLeast"/>
        </w:trPr>
        <w:tc>
          <w:tcPr>
            <w:tcW w:w="798" w:type="dxa"/>
            <w:vMerge w:val="continue"/>
            <w:noWrap w:val="0"/>
            <w:vAlign w:val="center"/>
          </w:tcPr>
          <w:p w14:paraId="382FB2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D7228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9E2247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45B94B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52E313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针对安全风险点位</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明确管控措施、责任人员、应急措施等</w:t>
            </w:r>
          </w:p>
        </w:tc>
        <w:tc>
          <w:tcPr>
            <w:tcW w:w="1663" w:type="dxa"/>
            <w:noWrap w:val="0"/>
            <w:vAlign w:val="center"/>
          </w:tcPr>
          <w:p w14:paraId="0271317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001333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F9DA6D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B2077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196A9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E6B06C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noWrap w:val="0"/>
            <w:vAlign w:val="center"/>
          </w:tcPr>
          <w:p w14:paraId="278467B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风险</w:t>
            </w:r>
          </w:p>
          <w:p w14:paraId="0085578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控制</w:t>
            </w:r>
          </w:p>
        </w:tc>
        <w:tc>
          <w:tcPr>
            <w:tcW w:w="2748" w:type="dxa"/>
            <w:vMerge w:val="continue"/>
            <w:noWrap w:val="0"/>
            <w:vAlign w:val="center"/>
          </w:tcPr>
          <w:p w14:paraId="5288B85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23EA8E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相关管理档案</w:t>
            </w:r>
          </w:p>
        </w:tc>
        <w:tc>
          <w:tcPr>
            <w:tcW w:w="1663" w:type="dxa"/>
            <w:noWrap w:val="0"/>
            <w:vAlign w:val="center"/>
          </w:tcPr>
          <w:p w14:paraId="0FAF3F7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110CC2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CDFC14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8001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restart"/>
            <w:noWrap w:val="0"/>
            <w:vAlign w:val="center"/>
          </w:tcPr>
          <w:p w14:paraId="6C2599D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7</w:t>
            </w:r>
          </w:p>
        </w:tc>
        <w:tc>
          <w:tcPr>
            <w:tcW w:w="870" w:type="dxa"/>
            <w:vMerge w:val="restart"/>
            <w:noWrap w:val="0"/>
            <w:vAlign w:val="center"/>
          </w:tcPr>
          <w:p w14:paraId="6B312BF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隐患排查治理</w:t>
            </w:r>
          </w:p>
        </w:tc>
        <w:tc>
          <w:tcPr>
            <w:tcW w:w="1284" w:type="dxa"/>
            <w:vMerge w:val="restart"/>
            <w:noWrap w:val="0"/>
            <w:vAlign w:val="center"/>
          </w:tcPr>
          <w:p w14:paraId="5D15C16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隐患</w:t>
            </w:r>
          </w:p>
          <w:p w14:paraId="0DDDD58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排查</w:t>
            </w:r>
          </w:p>
        </w:tc>
        <w:tc>
          <w:tcPr>
            <w:tcW w:w="2748" w:type="dxa"/>
            <w:vMerge w:val="restart"/>
            <w:noWrap w:val="0"/>
            <w:vAlign w:val="center"/>
          </w:tcPr>
          <w:p w14:paraId="70A35AC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①根据《安全生产检查与隐患排查治理制度》定期开展隐患排查</w:t>
            </w:r>
            <w:r>
              <w:rPr>
                <w:rFonts w:hint="eastAsia" w:ascii="仿宋_GB2312" w:hAnsi="仿宋_GB2312" w:eastAsia="仿宋_GB2312" w:cs="仿宋_GB2312"/>
                <w:b w:val="0"/>
                <w:bCs w:val="0"/>
                <w:sz w:val="28"/>
                <w:szCs w:val="28"/>
                <w:highlight w:val="none"/>
                <w:lang w:eastAsia="zh-CN"/>
              </w:rPr>
              <w:t>；</w:t>
            </w:r>
          </w:p>
          <w:p w14:paraId="65971A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②安全检查完成后填写安全检查表，记录隐患情况，并存档</w:t>
            </w:r>
            <w:r>
              <w:rPr>
                <w:rFonts w:hint="eastAsia" w:ascii="仿宋_GB2312" w:hAnsi="仿宋_GB2312" w:eastAsia="仿宋_GB2312" w:cs="仿宋_GB2312"/>
                <w:b w:val="0"/>
                <w:bCs w:val="0"/>
                <w:sz w:val="28"/>
                <w:szCs w:val="28"/>
                <w:highlight w:val="none"/>
                <w:lang w:eastAsia="zh-CN"/>
              </w:rPr>
              <w:t>；</w:t>
            </w:r>
          </w:p>
          <w:p w14:paraId="599F8A6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③责任人或责任部门负责人待整改完毕后填写《事故隐患排查治理情况表》，原件由责任部门留存，复印件交安全部门</w:t>
            </w:r>
            <w:r>
              <w:rPr>
                <w:rFonts w:hint="eastAsia" w:ascii="仿宋_GB2312" w:hAnsi="仿宋_GB2312" w:eastAsia="仿宋_GB2312" w:cs="仿宋_GB2312"/>
                <w:b w:val="0"/>
                <w:bCs w:val="0"/>
                <w:sz w:val="28"/>
                <w:szCs w:val="28"/>
                <w:highlight w:val="none"/>
                <w:lang w:eastAsia="zh-CN"/>
              </w:rPr>
              <w:t>；</w:t>
            </w:r>
          </w:p>
          <w:p w14:paraId="20535EB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④安全部门接到整改反馈表后组织复查，复查合格后，将安全检查表连同各责任部门上交的整改反馈表存档，作为安全检查</w:t>
            </w:r>
            <w:r>
              <w:rPr>
                <w:rFonts w:hint="eastAsia" w:ascii="仿宋_GB2312" w:hAnsi="仿宋_GB2312" w:eastAsia="仿宋_GB2312" w:cs="仿宋_GB2312"/>
                <w:b w:val="0"/>
                <w:bCs w:val="0"/>
                <w:sz w:val="28"/>
                <w:szCs w:val="28"/>
                <w:highlight w:val="none"/>
                <w:lang w:eastAsia="zh-CN"/>
              </w:rPr>
              <w:t>台账资料</w:t>
            </w:r>
            <w:r>
              <w:rPr>
                <w:rFonts w:hint="eastAsia" w:ascii="仿宋_GB2312" w:hAnsi="仿宋_GB2312" w:eastAsia="仿宋_GB2312" w:cs="仿宋_GB2312"/>
                <w:b w:val="0"/>
                <w:bCs w:val="0"/>
                <w:sz w:val="28"/>
                <w:szCs w:val="28"/>
                <w:highlight w:val="none"/>
              </w:rPr>
              <w:t>。</w:t>
            </w:r>
          </w:p>
        </w:tc>
        <w:tc>
          <w:tcPr>
            <w:tcW w:w="2319" w:type="dxa"/>
            <w:vMerge w:val="restart"/>
            <w:noWrap w:val="0"/>
            <w:vAlign w:val="center"/>
          </w:tcPr>
          <w:p w14:paraId="4DDE18A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隐患排查安全检查表</w:t>
            </w:r>
          </w:p>
        </w:tc>
        <w:tc>
          <w:tcPr>
            <w:tcW w:w="2780" w:type="dxa"/>
            <w:gridSpan w:val="2"/>
            <w:noWrap w:val="0"/>
            <w:vAlign w:val="center"/>
          </w:tcPr>
          <w:p w14:paraId="5647587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综合检查</w:t>
            </w:r>
          </w:p>
        </w:tc>
        <w:tc>
          <w:tcPr>
            <w:tcW w:w="1663" w:type="dxa"/>
            <w:noWrap w:val="0"/>
            <w:vAlign w:val="center"/>
          </w:tcPr>
          <w:p w14:paraId="116E5BF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9D458B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280E43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098C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63F98F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344106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20A0C9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3D474C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324EEB1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404519E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专项检查或复查</w:t>
            </w:r>
          </w:p>
        </w:tc>
        <w:tc>
          <w:tcPr>
            <w:tcW w:w="1663" w:type="dxa"/>
            <w:noWrap w:val="0"/>
            <w:vAlign w:val="center"/>
          </w:tcPr>
          <w:p w14:paraId="0D5A4E4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0631E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C6FE4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A470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2A9D1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759A85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074B07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06672F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0EE4903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7742D36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节假日检查</w:t>
            </w:r>
          </w:p>
        </w:tc>
        <w:tc>
          <w:tcPr>
            <w:tcW w:w="1663" w:type="dxa"/>
            <w:noWrap w:val="0"/>
            <w:vAlign w:val="center"/>
          </w:tcPr>
          <w:p w14:paraId="20946D8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010E51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94120F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E9D3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4CCA42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AAAD34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10E8E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C8B4A5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319" w:type="dxa"/>
            <w:vMerge w:val="continue"/>
            <w:noWrap w:val="0"/>
            <w:vAlign w:val="center"/>
          </w:tcPr>
          <w:p w14:paraId="2F277D8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2780" w:type="dxa"/>
            <w:gridSpan w:val="2"/>
            <w:noWrap w:val="0"/>
            <w:vAlign w:val="center"/>
          </w:tcPr>
          <w:p w14:paraId="535E5F3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日常检查</w:t>
            </w:r>
          </w:p>
        </w:tc>
        <w:tc>
          <w:tcPr>
            <w:tcW w:w="1663" w:type="dxa"/>
            <w:noWrap w:val="0"/>
            <w:vAlign w:val="center"/>
          </w:tcPr>
          <w:p w14:paraId="377412D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399641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661B0C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5CAAF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798" w:type="dxa"/>
            <w:vMerge w:val="continue"/>
            <w:noWrap w:val="0"/>
            <w:vAlign w:val="center"/>
          </w:tcPr>
          <w:p w14:paraId="024F98F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B3FE5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1C96FD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8983C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EE4DAB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事故隐患排查治理情况表</w:t>
            </w:r>
          </w:p>
        </w:tc>
        <w:tc>
          <w:tcPr>
            <w:tcW w:w="1663" w:type="dxa"/>
            <w:noWrap w:val="0"/>
            <w:vAlign w:val="center"/>
          </w:tcPr>
          <w:p w14:paraId="4A55B63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FB4606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A06F19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3E4B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4A9C57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AAE787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noWrap w:val="0"/>
            <w:vAlign w:val="center"/>
          </w:tcPr>
          <w:p w14:paraId="0F34596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隐患</w:t>
            </w:r>
          </w:p>
          <w:p w14:paraId="2C4E231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治理</w:t>
            </w:r>
          </w:p>
        </w:tc>
        <w:tc>
          <w:tcPr>
            <w:tcW w:w="2748" w:type="dxa"/>
            <w:vMerge w:val="continue"/>
            <w:noWrap w:val="0"/>
            <w:vAlign w:val="center"/>
          </w:tcPr>
          <w:p w14:paraId="47E2D33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26FC89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事故隐患排查治理总体台账（年度）</w:t>
            </w:r>
          </w:p>
        </w:tc>
        <w:tc>
          <w:tcPr>
            <w:tcW w:w="1663" w:type="dxa"/>
            <w:noWrap w:val="0"/>
            <w:vAlign w:val="center"/>
          </w:tcPr>
          <w:p w14:paraId="6F55FEF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EDC816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966C7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A1C5B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2EC82B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6CC4E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143D63C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重大</w:t>
            </w:r>
          </w:p>
          <w:p w14:paraId="0E32797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隐患</w:t>
            </w:r>
          </w:p>
        </w:tc>
        <w:tc>
          <w:tcPr>
            <w:tcW w:w="2748" w:type="dxa"/>
            <w:vMerge w:val="restart"/>
            <w:noWrap w:val="0"/>
            <w:vAlign w:val="center"/>
          </w:tcPr>
          <w:p w14:paraId="5EDD3FB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①发现无法及时消除并可能危及公共安全、可能造成事故的重大事故隐患应及时记录，并向政府安全监管部门报告</w:t>
            </w:r>
            <w:r>
              <w:rPr>
                <w:rFonts w:hint="eastAsia" w:ascii="仿宋_GB2312" w:hAnsi="仿宋_GB2312" w:eastAsia="仿宋_GB2312" w:cs="仿宋_GB2312"/>
                <w:b w:val="0"/>
                <w:bCs w:val="0"/>
                <w:sz w:val="28"/>
                <w:szCs w:val="28"/>
                <w:highlight w:val="none"/>
                <w:lang w:eastAsia="zh-CN"/>
              </w:rPr>
              <w:t>；</w:t>
            </w:r>
          </w:p>
          <w:p w14:paraId="5C81B91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②应制定详细的整改计划和安全监控管理措施，遏制事故发生</w:t>
            </w:r>
            <w:r>
              <w:rPr>
                <w:rFonts w:hint="eastAsia" w:ascii="仿宋_GB2312" w:hAnsi="仿宋_GB2312" w:eastAsia="仿宋_GB2312" w:cs="仿宋_GB2312"/>
                <w:b w:val="0"/>
                <w:bCs w:val="0"/>
                <w:sz w:val="28"/>
                <w:szCs w:val="28"/>
                <w:highlight w:val="none"/>
                <w:lang w:eastAsia="zh-CN"/>
              </w:rPr>
              <w:t>；</w:t>
            </w:r>
          </w:p>
          <w:p w14:paraId="42D6B5A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③制定专门的应急处置方案。</w:t>
            </w:r>
          </w:p>
        </w:tc>
        <w:tc>
          <w:tcPr>
            <w:tcW w:w="5099" w:type="dxa"/>
            <w:gridSpan w:val="3"/>
            <w:noWrap w:val="0"/>
            <w:vAlign w:val="center"/>
          </w:tcPr>
          <w:p w14:paraId="229CB05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重大隐患情况表</w:t>
            </w:r>
          </w:p>
        </w:tc>
        <w:tc>
          <w:tcPr>
            <w:tcW w:w="1663" w:type="dxa"/>
            <w:noWrap w:val="0"/>
            <w:vAlign w:val="center"/>
          </w:tcPr>
          <w:p w14:paraId="5D12273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16ADF7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8EAF90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3815F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71ED30C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7214BF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EFE45A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84C0D0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07FF89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重大隐患管控措施、报告资料</w:t>
            </w:r>
          </w:p>
        </w:tc>
        <w:tc>
          <w:tcPr>
            <w:tcW w:w="1663" w:type="dxa"/>
            <w:noWrap w:val="0"/>
            <w:vAlign w:val="center"/>
          </w:tcPr>
          <w:p w14:paraId="5013CEB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B9E31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B00E41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2CD41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726564B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7115F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39912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407AA3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78604A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重大隐患应急预案</w:t>
            </w:r>
          </w:p>
        </w:tc>
        <w:tc>
          <w:tcPr>
            <w:tcW w:w="1663" w:type="dxa"/>
            <w:noWrap w:val="0"/>
            <w:vAlign w:val="center"/>
          </w:tcPr>
          <w:p w14:paraId="4354115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FCC553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542C6E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FC666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798" w:type="dxa"/>
            <w:vMerge w:val="restart"/>
            <w:noWrap w:val="0"/>
            <w:vAlign w:val="center"/>
          </w:tcPr>
          <w:p w14:paraId="268E381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8</w:t>
            </w:r>
          </w:p>
        </w:tc>
        <w:tc>
          <w:tcPr>
            <w:tcW w:w="870" w:type="dxa"/>
            <w:vMerge w:val="restart"/>
            <w:noWrap w:val="0"/>
            <w:vAlign w:val="center"/>
          </w:tcPr>
          <w:p w14:paraId="0A94B4C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事故调查处理</w:t>
            </w:r>
          </w:p>
        </w:tc>
        <w:tc>
          <w:tcPr>
            <w:tcW w:w="1284" w:type="dxa"/>
            <w:vMerge w:val="restart"/>
            <w:noWrap w:val="0"/>
            <w:vAlign w:val="center"/>
          </w:tcPr>
          <w:p w14:paraId="05FE079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w:t>
            </w:r>
          </w:p>
          <w:p w14:paraId="54E9B25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调查</w:t>
            </w:r>
          </w:p>
        </w:tc>
        <w:tc>
          <w:tcPr>
            <w:tcW w:w="2748" w:type="dxa"/>
            <w:vMerge w:val="restart"/>
            <w:noWrap w:val="0"/>
            <w:vAlign w:val="center"/>
          </w:tcPr>
          <w:p w14:paraId="54037B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lang w:eastAsia="zh-CN"/>
              </w:rPr>
            </w:pPr>
            <w:r>
              <w:rPr>
                <w:rFonts w:hint="eastAsia" w:ascii="仿宋_GB2312" w:hAnsi="仿宋_GB2312" w:eastAsia="仿宋_GB2312" w:cs="仿宋_GB2312"/>
                <w:b w:val="0"/>
                <w:bCs w:val="0"/>
                <w:sz w:val="28"/>
                <w:szCs w:val="28"/>
                <w:highlight w:val="none"/>
              </w:rPr>
              <w:t>①</w:t>
            </w:r>
            <w:r>
              <w:rPr>
                <w:rFonts w:hint="eastAsia" w:ascii="仿宋_GB2312" w:hAnsi="仿宋_GB2312" w:eastAsia="仿宋_GB2312" w:cs="仿宋_GB2312"/>
                <w:b w:val="0"/>
                <w:bCs w:val="0"/>
                <w:kern w:val="0"/>
                <w:sz w:val="28"/>
                <w:szCs w:val="28"/>
                <w:highlight w:val="none"/>
              </w:rPr>
              <w:t>发生事故后，按照《</w:t>
            </w:r>
            <w:r>
              <w:rPr>
                <w:rFonts w:hint="eastAsia" w:ascii="仿宋_GB2312" w:hAnsi="仿宋_GB2312" w:eastAsia="仿宋_GB2312" w:cs="仿宋_GB2312"/>
                <w:b w:val="0"/>
                <w:bCs w:val="0"/>
                <w:sz w:val="28"/>
                <w:szCs w:val="28"/>
                <w:highlight w:val="none"/>
              </w:rPr>
              <w:t>生产安全事故报告和处理制度</w:t>
            </w:r>
            <w:r>
              <w:rPr>
                <w:rFonts w:hint="eastAsia" w:ascii="仿宋_GB2312" w:hAnsi="仿宋_GB2312" w:eastAsia="仿宋_GB2312" w:cs="仿宋_GB2312"/>
                <w:b w:val="0"/>
                <w:bCs w:val="0"/>
                <w:kern w:val="0"/>
                <w:sz w:val="28"/>
                <w:szCs w:val="28"/>
                <w:highlight w:val="none"/>
              </w:rPr>
              <w:t>》，及时向属地应急、消防部门报告</w:t>
            </w:r>
            <w:r>
              <w:rPr>
                <w:rFonts w:hint="eastAsia" w:ascii="仿宋_GB2312" w:hAnsi="仿宋_GB2312" w:eastAsia="仿宋_GB2312" w:cs="仿宋_GB2312"/>
                <w:b w:val="0"/>
                <w:bCs w:val="0"/>
                <w:kern w:val="0"/>
                <w:sz w:val="28"/>
                <w:szCs w:val="28"/>
                <w:highlight w:val="none"/>
                <w:lang w:eastAsia="zh-CN"/>
              </w:rPr>
              <w:t>；</w:t>
            </w:r>
          </w:p>
          <w:p w14:paraId="114FE31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②根据事故等级，配合政府部门调查（亡人事故）或自行组织调查（非亡人事故、经济损失小）</w:t>
            </w:r>
            <w:r>
              <w:rPr>
                <w:rFonts w:hint="eastAsia" w:ascii="仿宋_GB2312" w:hAnsi="仿宋_GB2312" w:eastAsia="仿宋_GB2312" w:cs="仿宋_GB2312"/>
                <w:b w:val="0"/>
                <w:bCs w:val="0"/>
                <w:sz w:val="28"/>
                <w:szCs w:val="28"/>
                <w:highlight w:val="none"/>
                <w:lang w:eastAsia="zh-CN"/>
              </w:rPr>
              <w:t>；</w:t>
            </w:r>
          </w:p>
          <w:p w14:paraId="23664BF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③应建立事故台账和事故档案。</w:t>
            </w:r>
          </w:p>
        </w:tc>
        <w:tc>
          <w:tcPr>
            <w:tcW w:w="5099" w:type="dxa"/>
            <w:gridSpan w:val="3"/>
            <w:noWrap w:val="0"/>
            <w:vAlign w:val="center"/>
          </w:tcPr>
          <w:p w14:paraId="3BBAE7A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落实事故报告、善后、调查要求</w:t>
            </w:r>
          </w:p>
        </w:tc>
        <w:tc>
          <w:tcPr>
            <w:tcW w:w="1663" w:type="dxa"/>
            <w:noWrap w:val="0"/>
            <w:vAlign w:val="center"/>
          </w:tcPr>
          <w:p w14:paraId="68EE95A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1262E2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AC1F3F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A2CB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798" w:type="dxa"/>
            <w:vMerge w:val="continue"/>
            <w:noWrap w:val="0"/>
            <w:vAlign w:val="center"/>
          </w:tcPr>
          <w:p w14:paraId="64479FF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8EF96D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8640E7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4C6A29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6A1CE56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事故调查报告</w:t>
            </w:r>
          </w:p>
        </w:tc>
        <w:tc>
          <w:tcPr>
            <w:tcW w:w="1663" w:type="dxa"/>
            <w:noWrap w:val="0"/>
            <w:vAlign w:val="center"/>
          </w:tcPr>
          <w:p w14:paraId="1181D60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6C966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C831F6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1060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798" w:type="dxa"/>
            <w:vMerge w:val="continue"/>
            <w:noWrap w:val="0"/>
            <w:vAlign w:val="center"/>
          </w:tcPr>
          <w:p w14:paraId="4617632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9247B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55F568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w:t>
            </w:r>
          </w:p>
          <w:p w14:paraId="5693FD5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处理</w:t>
            </w:r>
          </w:p>
        </w:tc>
        <w:tc>
          <w:tcPr>
            <w:tcW w:w="2748" w:type="dxa"/>
            <w:vMerge w:val="continue"/>
            <w:noWrap w:val="0"/>
            <w:vAlign w:val="center"/>
          </w:tcPr>
          <w:p w14:paraId="28A0902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7B84D28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事故处理意见、整改要求落实情况</w:t>
            </w:r>
          </w:p>
        </w:tc>
        <w:tc>
          <w:tcPr>
            <w:tcW w:w="1663" w:type="dxa"/>
            <w:noWrap w:val="0"/>
            <w:vAlign w:val="center"/>
          </w:tcPr>
          <w:p w14:paraId="3C5DD5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86DFF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977A15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9BB3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7" w:hRule="exact"/>
        </w:trPr>
        <w:tc>
          <w:tcPr>
            <w:tcW w:w="798" w:type="dxa"/>
            <w:vMerge w:val="continue"/>
            <w:noWrap w:val="0"/>
            <w:vAlign w:val="center"/>
          </w:tcPr>
          <w:p w14:paraId="6004E47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3B50FF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CA4BD9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993C1D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3974C51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事故台账、事故档案</w:t>
            </w:r>
          </w:p>
        </w:tc>
        <w:tc>
          <w:tcPr>
            <w:tcW w:w="1663" w:type="dxa"/>
            <w:noWrap w:val="0"/>
            <w:vAlign w:val="center"/>
          </w:tcPr>
          <w:p w14:paraId="3A69EC0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450407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31385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9C56B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trPr>
        <w:tc>
          <w:tcPr>
            <w:tcW w:w="798" w:type="dxa"/>
            <w:vMerge w:val="restart"/>
            <w:noWrap w:val="0"/>
            <w:vAlign w:val="center"/>
          </w:tcPr>
          <w:p w14:paraId="7F98EE8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9</w:t>
            </w:r>
          </w:p>
          <w:p w14:paraId="68AE34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p w14:paraId="4491691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restart"/>
            <w:noWrap w:val="0"/>
            <w:vAlign w:val="center"/>
          </w:tcPr>
          <w:p w14:paraId="11307F4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安全生产过程管理</w:t>
            </w:r>
          </w:p>
        </w:tc>
        <w:tc>
          <w:tcPr>
            <w:tcW w:w="1284" w:type="dxa"/>
            <w:vMerge w:val="restart"/>
            <w:noWrap w:val="0"/>
            <w:vAlign w:val="center"/>
          </w:tcPr>
          <w:p w14:paraId="21B2FA2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p w14:paraId="13020C0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工作</w:t>
            </w:r>
          </w:p>
          <w:p w14:paraId="2508596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例会</w:t>
            </w:r>
          </w:p>
        </w:tc>
        <w:tc>
          <w:tcPr>
            <w:tcW w:w="2748" w:type="dxa"/>
            <w:vMerge w:val="restart"/>
            <w:noWrap w:val="0"/>
            <w:vAlign w:val="center"/>
          </w:tcPr>
          <w:p w14:paraId="6C2BEB6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①召开领导班子例会研究安全工作</w:t>
            </w:r>
            <w:r>
              <w:rPr>
                <w:rFonts w:hint="eastAsia" w:ascii="仿宋_GB2312" w:hAnsi="仿宋_GB2312" w:eastAsia="仿宋_GB2312" w:cs="仿宋_GB2312"/>
                <w:b w:val="0"/>
                <w:bCs w:val="0"/>
                <w:sz w:val="28"/>
                <w:szCs w:val="28"/>
                <w:highlight w:val="none"/>
                <w:lang w:eastAsia="zh-CN"/>
              </w:rPr>
              <w:t>；</w:t>
            </w:r>
          </w:p>
          <w:p w14:paraId="071370C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②召开内部安委会会议或安全专题会议</w:t>
            </w:r>
            <w:r>
              <w:rPr>
                <w:rFonts w:hint="eastAsia" w:ascii="仿宋_GB2312" w:hAnsi="仿宋_GB2312" w:eastAsia="仿宋_GB2312" w:cs="仿宋_GB2312"/>
                <w:b w:val="0"/>
                <w:bCs w:val="0"/>
                <w:sz w:val="28"/>
                <w:szCs w:val="28"/>
                <w:highlight w:val="none"/>
                <w:lang w:eastAsia="zh-CN"/>
              </w:rPr>
              <w:t>。</w:t>
            </w:r>
          </w:p>
          <w:p w14:paraId="54D2747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企业根据实际情况安排会议，确保领导班子定期研究、调度安全工作。</w:t>
            </w:r>
          </w:p>
        </w:tc>
        <w:tc>
          <w:tcPr>
            <w:tcW w:w="5099" w:type="dxa"/>
            <w:gridSpan w:val="3"/>
            <w:noWrap w:val="0"/>
            <w:vAlign w:val="center"/>
          </w:tcPr>
          <w:p w14:paraId="7ACBC8F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会议通知、签到表等过程资料</w:t>
            </w:r>
          </w:p>
        </w:tc>
        <w:tc>
          <w:tcPr>
            <w:tcW w:w="1663" w:type="dxa"/>
            <w:noWrap w:val="0"/>
            <w:vAlign w:val="center"/>
          </w:tcPr>
          <w:p w14:paraId="3CB3129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CE80C5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E1F72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DB84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3C898C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A34DA0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C96741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BA624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5FF283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会议纪要</w:t>
            </w:r>
          </w:p>
        </w:tc>
        <w:tc>
          <w:tcPr>
            <w:tcW w:w="1663" w:type="dxa"/>
            <w:noWrap w:val="0"/>
            <w:vAlign w:val="center"/>
          </w:tcPr>
          <w:p w14:paraId="3B6BE2F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795EE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75919B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E463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519D4F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09AE3D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1C3C05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w:t>
            </w:r>
          </w:p>
          <w:p w14:paraId="33E8965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w:t>
            </w:r>
          </w:p>
          <w:p w14:paraId="6AAB937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管理</w:t>
            </w:r>
          </w:p>
          <w:p w14:paraId="3ED7D61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（电梯、锅炉、</w:t>
            </w:r>
          </w:p>
          <w:p w14:paraId="3A4006D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压力</w:t>
            </w:r>
          </w:p>
          <w:p w14:paraId="30DF9FC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容器等）</w:t>
            </w:r>
          </w:p>
        </w:tc>
        <w:tc>
          <w:tcPr>
            <w:tcW w:w="2748" w:type="dxa"/>
            <w:vMerge w:val="restart"/>
            <w:noWrap w:val="0"/>
            <w:vAlign w:val="center"/>
          </w:tcPr>
          <w:p w14:paraId="1055765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①特种设备使用前</w:t>
            </w:r>
            <w:r>
              <w:rPr>
                <w:rFonts w:hint="eastAsia" w:ascii="仿宋_GB2312" w:hAnsi="仿宋_GB2312" w:eastAsia="仿宋_GB2312" w:cs="仿宋_GB2312"/>
                <w:b w:val="0"/>
                <w:bCs w:val="0"/>
                <w:sz w:val="28"/>
                <w:szCs w:val="28"/>
                <w:highlight w:val="none"/>
                <w:lang w:eastAsia="zh-CN"/>
              </w:rPr>
              <w:t>应</w:t>
            </w:r>
            <w:r>
              <w:rPr>
                <w:rFonts w:hint="eastAsia" w:ascii="仿宋_GB2312" w:hAnsi="仿宋_GB2312" w:eastAsia="仿宋_GB2312" w:cs="仿宋_GB2312"/>
                <w:b w:val="0"/>
                <w:bCs w:val="0"/>
                <w:sz w:val="28"/>
                <w:szCs w:val="28"/>
                <w:highlight w:val="none"/>
              </w:rPr>
              <w:t>及时备案，注册登记后方能投入使用</w:t>
            </w:r>
            <w:r>
              <w:rPr>
                <w:rFonts w:hint="eastAsia" w:ascii="仿宋_GB2312" w:hAnsi="仿宋_GB2312" w:eastAsia="仿宋_GB2312" w:cs="仿宋_GB2312"/>
                <w:b w:val="0"/>
                <w:bCs w:val="0"/>
                <w:sz w:val="28"/>
                <w:szCs w:val="28"/>
                <w:highlight w:val="none"/>
                <w:lang w:eastAsia="zh-CN"/>
              </w:rPr>
              <w:t>；</w:t>
            </w:r>
          </w:p>
          <w:p w14:paraId="19755F8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②企业应掌握特种设备检验周期，对在用的特种设备定期申报检验</w:t>
            </w:r>
            <w:r>
              <w:rPr>
                <w:rFonts w:hint="eastAsia" w:ascii="仿宋_GB2312" w:hAnsi="仿宋_GB2312" w:eastAsia="仿宋_GB2312" w:cs="仿宋_GB2312"/>
                <w:b w:val="0"/>
                <w:bCs w:val="0"/>
                <w:sz w:val="28"/>
                <w:szCs w:val="28"/>
                <w:highlight w:val="none"/>
                <w:lang w:eastAsia="zh-CN"/>
              </w:rPr>
              <w:t>；</w:t>
            </w:r>
          </w:p>
          <w:p w14:paraId="42B8832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③企业应汇总本企业特种设备台账，实时掌握特种设备的使用情况</w:t>
            </w:r>
            <w:r>
              <w:rPr>
                <w:rFonts w:hint="eastAsia" w:ascii="仿宋_GB2312" w:hAnsi="仿宋_GB2312" w:eastAsia="仿宋_GB2312" w:cs="仿宋_GB2312"/>
                <w:b w:val="0"/>
                <w:bCs w:val="0"/>
                <w:sz w:val="28"/>
                <w:szCs w:val="28"/>
                <w:highlight w:val="none"/>
                <w:lang w:eastAsia="zh-CN"/>
              </w:rPr>
              <w:t>。</w:t>
            </w:r>
          </w:p>
        </w:tc>
        <w:tc>
          <w:tcPr>
            <w:tcW w:w="5099" w:type="dxa"/>
            <w:gridSpan w:val="3"/>
            <w:noWrap w:val="0"/>
            <w:vAlign w:val="center"/>
          </w:tcPr>
          <w:p w14:paraId="127EE82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特种设备注册登记证明材料</w:t>
            </w:r>
          </w:p>
        </w:tc>
        <w:tc>
          <w:tcPr>
            <w:tcW w:w="1663" w:type="dxa"/>
            <w:noWrap w:val="0"/>
            <w:vAlign w:val="center"/>
          </w:tcPr>
          <w:p w14:paraId="406B3F6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DB4E46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DEFBEF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9553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4680CFC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7CD3F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BA14F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5C718E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BF1E74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特种设备定期检测报告</w:t>
            </w:r>
          </w:p>
        </w:tc>
        <w:tc>
          <w:tcPr>
            <w:tcW w:w="1663" w:type="dxa"/>
            <w:noWrap w:val="0"/>
            <w:vAlign w:val="center"/>
          </w:tcPr>
          <w:p w14:paraId="2E1B311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1D801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46FEEB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13B1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7" w:hRule="exact"/>
        </w:trPr>
        <w:tc>
          <w:tcPr>
            <w:tcW w:w="798" w:type="dxa"/>
            <w:vMerge w:val="continue"/>
            <w:noWrap w:val="0"/>
            <w:vAlign w:val="center"/>
          </w:tcPr>
          <w:p w14:paraId="5505D4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45808D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6577BD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CB360D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113C35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特种设备档案</w:t>
            </w:r>
          </w:p>
        </w:tc>
        <w:tc>
          <w:tcPr>
            <w:tcW w:w="1663" w:type="dxa"/>
            <w:noWrap w:val="0"/>
            <w:vAlign w:val="center"/>
          </w:tcPr>
          <w:p w14:paraId="6ABF2FC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64B500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1EA1F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61B6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2" w:hRule="atLeast"/>
        </w:trPr>
        <w:tc>
          <w:tcPr>
            <w:tcW w:w="798" w:type="dxa"/>
            <w:vMerge w:val="continue"/>
            <w:noWrap w:val="0"/>
            <w:vAlign w:val="center"/>
          </w:tcPr>
          <w:p w14:paraId="0DD0EBC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FC832E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3B87FD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危险</w:t>
            </w:r>
          </w:p>
          <w:p w14:paraId="4407FD1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作业</w:t>
            </w:r>
          </w:p>
          <w:p w14:paraId="18A2DF4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管理</w:t>
            </w:r>
          </w:p>
        </w:tc>
        <w:tc>
          <w:tcPr>
            <w:tcW w:w="2748" w:type="dxa"/>
            <w:vMerge w:val="restart"/>
            <w:noWrap w:val="0"/>
            <w:vAlign w:val="center"/>
          </w:tcPr>
          <w:p w14:paraId="0E42D8C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企业进行爆破、吊装、挖掘、悬吊、建设工程拆除、油罐清洗、有限空间作业、动火作业、高处作业、带电作业、临近高压输电线路作业，应落实危险作业安全管理责任。    </w:t>
            </w:r>
          </w:p>
        </w:tc>
        <w:tc>
          <w:tcPr>
            <w:tcW w:w="5099" w:type="dxa"/>
            <w:gridSpan w:val="3"/>
            <w:noWrap w:val="0"/>
            <w:vAlign w:val="center"/>
          </w:tcPr>
          <w:p w14:paraId="6D294C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制定作业方案，按照本单位内部批准权限审批</w:t>
            </w:r>
          </w:p>
        </w:tc>
        <w:tc>
          <w:tcPr>
            <w:tcW w:w="1663" w:type="dxa"/>
            <w:noWrap w:val="0"/>
            <w:vAlign w:val="center"/>
          </w:tcPr>
          <w:p w14:paraId="323C8E9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C8FA4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DFE3D3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03A4E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trPr>
        <w:tc>
          <w:tcPr>
            <w:tcW w:w="798" w:type="dxa"/>
            <w:vMerge w:val="continue"/>
            <w:noWrap w:val="0"/>
            <w:vAlign w:val="center"/>
          </w:tcPr>
          <w:p w14:paraId="21E32C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44D457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C12F8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68F4DA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13DA33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落实安全交底，向作业人员详细说明作业内容、主要危险因素、作业安全要求和应急措施等内容</w:t>
            </w:r>
          </w:p>
        </w:tc>
        <w:tc>
          <w:tcPr>
            <w:tcW w:w="1663" w:type="dxa"/>
            <w:noWrap w:val="0"/>
            <w:vAlign w:val="center"/>
          </w:tcPr>
          <w:p w14:paraId="0D8FCFE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1456C1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E253EF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44D7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5CEF5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21411B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9B4672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ABB7B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BBEF77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安排专门人员进行现场管理，确认现场作业条件、作业人员上岗资格、身体状况符合安全作业要求，监督作业人员遵守操作规程，落实安全措施</w:t>
            </w:r>
          </w:p>
        </w:tc>
        <w:tc>
          <w:tcPr>
            <w:tcW w:w="1663" w:type="dxa"/>
            <w:noWrap w:val="0"/>
            <w:vAlign w:val="center"/>
          </w:tcPr>
          <w:p w14:paraId="5240648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02D7D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D65C1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8B302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B9F5D7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C3CB05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8CC4AD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A0514C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A5D416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配备与现场作业活动相适应的劳动防护用品，以及相应的安全警示</w:t>
            </w:r>
            <w:r>
              <w:rPr>
                <w:rFonts w:hint="eastAsia" w:ascii="仿宋_GB2312" w:hAnsi="仿宋_GB2312" w:cs="仿宋_GB2312"/>
                <w:b w:val="0"/>
                <w:bCs w:val="0"/>
                <w:sz w:val="28"/>
                <w:szCs w:val="28"/>
                <w:highlight w:val="none"/>
                <w:lang w:eastAsia="zh-CN"/>
              </w:rPr>
              <w:t>标识</w:t>
            </w:r>
            <w:r>
              <w:rPr>
                <w:rFonts w:hint="eastAsia" w:ascii="仿宋_GB2312" w:hAnsi="仿宋_GB2312" w:eastAsia="仿宋_GB2312" w:cs="仿宋_GB2312"/>
                <w:b w:val="0"/>
                <w:bCs w:val="0"/>
                <w:sz w:val="28"/>
                <w:szCs w:val="28"/>
                <w:highlight w:val="none"/>
              </w:rPr>
              <w:t>、安全防护设备、应急救援装备</w:t>
            </w:r>
          </w:p>
        </w:tc>
        <w:tc>
          <w:tcPr>
            <w:tcW w:w="1663" w:type="dxa"/>
            <w:noWrap w:val="0"/>
            <w:vAlign w:val="center"/>
          </w:tcPr>
          <w:p w14:paraId="35A87C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1ACA08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D7A332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9088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7559F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1DD261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5A858D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80AC4C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BBB6A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发现直接危及人身安全的紧急情况，立即采取应急措施，停止作业或者撤出作业人员</w:t>
            </w:r>
          </w:p>
        </w:tc>
        <w:tc>
          <w:tcPr>
            <w:tcW w:w="1663" w:type="dxa"/>
            <w:noWrap w:val="0"/>
            <w:vAlign w:val="center"/>
          </w:tcPr>
          <w:p w14:paraId="55B1F36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0D1E2A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D6CAB1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6D930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23" w:hRule="atLeast"/>
        </w:trPr>
        <w:tc>
          <w:tcPr>
            <w:tcW w:w="798" w:type="dxa"/>
            <w:vMerge w:val="continue"/>
            <w:noWrap w:val="0"/>
            <w:vAlign w:val="center"/>
          </w:tcPr>
          <w:p w14:paraId="68EA1CC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C39A4C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693CAF8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相关方管理</w:t>
            </w:r>
          </w:p>
        </w:tc>
        <w:tc>
          <w:tcPr>
            <w:tcW w:w="2748" w:type="dxa"/>
            <w:vMerge w:val="restart"/>
            <w:noWrap w:val="0"/>
            <w:vAlign w:val="center"/>
          </w:tcPr>
          <w:p w14:paraId="5DD3994B">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①与相关方签订安全管理协议或在合同中明确各自安全管理职责。相关方包括：</w:t>
            </w:r>
          </w:p>
          <w:p w14:paraId="64536A81">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一是发包或者出租生产经营项目、场所、设备的；</w:t>
            </w:r>
          </w:p>
          <w:p w14:paraId="057AABF4">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二是两个以上生产经营单位在同一作业区域内进行生产经营活动，可能危及对方生产安全的；</w:t>
            </w:r>
          </w:p>
          <w:p w14:paraId="11A1FA10">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color w:val="000000"/>
                <w:sz w:val="28"/>
                <w:szCs w:val="28"/>
                <w:highlight w:val="none"/>
              </w:rPr>
            </w:pPr>
            <w:r>
              <w:rPr>
                <w:rFonts w:hint="eastAsia" w:ascii="仿宋_GB2312" w:hAnsi="仿宋_GB2312" w:eastAsia="仿宋_GB2312" w:cs="仿宋_GB2312"/>
                <w:b w:val="0"/>
                <w:bCs w:val="0"/>
                <w:sz w:val="28"/>
                <w:szCs w:val="28"/>
                <w:highlight w:val="none"/>
              </w:rPr>
              <w:t>三是委托其他生产经营单位从事前款所列危险作业的。</w:t>
            </w:r>
          </w:p>
          <w:p w14:paraId="4EA9DCEE">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②安全管理协议的内容包括：</w:t>
            </w:r>
          </w:p>
          <w:p w14:paraId="231F100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一是双方安全生产职责、各自管理的区域范围；</w:t>
            </w:r>
          </w:p>
          <w:p w14:paraId="11BFEED2">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二是作业场所、作业人员、设备设施的安全生产管理责任；</w:t>
            </w:r>
          </w:p>
          <w:p w14:paraId="300C92D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三是双方有关安全生产的权利和义务；</w:t>
            </w:r>
          </w:p>
          <w:p w14:paraId="1757196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四是生产安全事故报告和应急救援责任。</w:t>
            </w:r>
          </w:p>
          <w:p w14:paraId="2A6F5AA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sz w:val="28"/>
                <w:szCs w:val="28"/>
                <w:highlight w:val="none"/>
                <w:lang w:eastAsia="zh-CN"/>
              </w:rPr>
            </w:pPr>
            <w:r>
              <w:rPr>
                <w:rFonts w:hint="eastAsia" w:ascii="仿宋_GB2312" w:hAnsi="仿宋_GB2312" w:eastAsia="仿宋_GB2312" w:cs="仿宋_GB2312"/>
                <w:b w:val="0"/>
                <w:bCs w:val="0"/>
                <w:sz w:val="28"/>
                <w:szCs w:val="28"/>
                <w:highlight w:val="none"/>
              </w:rPr>
              <w:t>③定期检查相关方安全情况，督促相关方整改问题隐患</w:t>
            </w:r>
            <w:r>
              <w:rPr>
                <w:rFonts w:hint="eastAsia" w:ascii="仿宋_GB2312" w:hAnsi="仿宋_GB2312" w:eastAsia="仿宋_GB2312" w:cs="仿宋_GB2312"/>
                <w:b w:val="0"/>
                <w:bCs w:val="0"/>
                <w:sz w:val="28"/>
                <w:szCs w:val="28"/>
                <w:highlight w:val="none"/>
                <w:lang w:eastAsia="zh-CN"/>
              </w:rPr>
              <w:t>。</w:t>
            </w:r>
          </w:p>
        </w:tc>
        <w:tc>
          <w:tcPr>
            <w:tcW w:w="5099" w:type="dxa"/>
            <w:gridSpan w:val="3"/>
            <w:noWrap w:val="0"/>
            <w:vAlign w:val="center"/>
          </w:tcPr>
          <w:p w14:paraId="673806D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与相关方的安全协议（或合同）、相关方资质、工作台账</w:t>
            </w:r>
          </w:p>
        </w:tc>
        <w:tc>
          <w:tcPr>
            <w:tcW w:w="1663" w:type="dxa"/>
            <w:noWrap w:val="0"/>
            <w:vAlign w:val="center"/>
          </w:tcPr>
          <w:p w14:paraId="21D73C0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7FA409F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71384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36E5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6" w:hRule="atLeast"/>
        </w:trPr>
        <w:tc>
          <w:tcPr>
            <w:tcW w:w="798" w:type="dxa"/>
            <w:vMerge w:val="continue"/>
            <w:noWrap w:val="0"/>
            <w:vAlign w:val="center"/>
          </w:tcPr>
          <w:p w14:paraId="3936B3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ECD2D9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FF25D4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887453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23EE14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对相关方的安全检查记录</w:t>
            </w:r>
          </w:p>
        </w:tc>
        <w:tc>
          <w:tcPr>
            <w:tcW w:w="1663" w:type="dxa"/>
            <w:noWrap w:val="0"/>
            <w:vAlign w:val="center"/>
          </w:tcPr>
          <w:p w14:paraId="3653948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3BD3A1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FA1D71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8A02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5" w:hRule="atLeast"/>
        </w:trPr>
        <w:tc>
          <w:tcPr>
            <w:tcW w:w="798" w:type="dxa"/>
            <w:vMerge w:val="continue"/>
            <w:noWrap w:val="0"/>
            <w:vAlign w:val="center"/>
          </w:tcPr>
          <w:p w14:paraId="21CA29D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9299F7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85812D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2107D7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858B3C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kern w:val="0"/>
                <w:sz w:val="28"/>
                <w:szCs w:val="28"/>
                <w:highlight w:val="none"/>
              </w:rPr>
              <w:t>相关方问题、隐患整改记录</w:t>
            </w:r>
          </w:p>
        </w:tc>
        <w:tc>
          <w:tcPr>
            <w:tcW w:w="1663" w:type="dxa"/>
            <w:noWrap w:val="0"/>
            <w:vAlign w:val="center"/>
          </w:tcPr>
          <w:p w14:paraId="2F5925C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7778549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CB230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4684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98" w:type="dxa"/>
            <w:vMerge w:val="continue"/>
            <w:noWrap w:val="0"/>
            <w:vAlign w:val="center"/>
          </w:tcPr>
          <w:p w14:paraId="6824BB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764614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4AC8CA8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关键</w:t>
            </w:r>
          </w:p>
          <w:p w14:paraId="7C00BAB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设备</w:t>
            </w:r>
          </w:p>
          <w:p w14:paraId="68BB7AD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设施</w:t>
            </w:r>
          </w:p>
          <w:p w14:paraId="7C3596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p w14:paraId="3647C65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管理</w:t>
            </w:r>
          </w:p>
        </w:tc>
        <w:tc>
          <w:tcPr>
            <w:tcW w:w="2748" w:type="dxa"/>
            <w:vMerge w:val="restart"/>
            <w:noWrap w:val="0"/>
            <w:vAlign w:val="center"/>
          </w:tcPr>
          <w:p w14:paraId="17478C9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数据中心、机房的基础条件：应证照齐全、具有完备的安全保护措施。</w:t>
            </w:r>
          </w:p>
        </w:tc>
        <w:tc>
          <w:tcPr>
            <w:tcW w:w="5099" w:type="dxa"/>
            <w:gridSpan w:val="3"/>
            <w:noWrap w:val="0"/>
            <w:vAlign w:val="center"/>
          </w:tcPr>
          <w:p w14:paraId="295D44A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证照齐全</w:t>
            </w:r>
          </w:p>
        </w:tc>
        <w:tc>
          <w:tcPr>
            <w:tcW w:w="1663" w:type="dxa"/>
            <w:noWrap w:val="0"/>
            <w:vAlign w:val="center"/>
          </w:tcPr>
          <w:p w14:paraId="660A6FA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2B7F2DA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1274F9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AB62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98" w:type="dxa"/>
            <w:vMerge w:val="continue"/>
            <w:noWrap w:val="0"/>
            <w:vAlign w:val="center"/>
          </w:tcPr>
          <w:p w14:paraId="337B0B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F44F31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8E90CD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E9DC08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4567F6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具有完备安全保护措施</w:t>
            </w:r>
          </w:p>
        </w:tc>
        <w:tc>
          <w:tcPr>
            <w:tcW w:w="1663" w:type="dxa"/>
            <w:noWrap w:val="0"/>
            <w:vAlign w:val="center"/>
          </w:tcPr>
          <w:p w14:paraId="74EC4C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6BCF1B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33B048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A870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9B2DD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53F7F1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40E67D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19F06EF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数据中心、机房的消防安全：机房环境整洁有序，不存放易燃易爆和强磁性物品，关键设备专人管理不挪作它用；应配备合格的气体灭火系统、消防器材等设备，安装防火门，装修材料具有阻燃特性，建有消防通道，逃生路线指示完备，火灾报警设备、通风设施齐全，UPS电池间通风良好，配备必需的应急救援物资，定期进行检查确保完好有效。</w:t>
            </w:r>
          </w:p>
        </w:tc>
        <w:tc>
          <w:tcPr>
            <w:tcW w:w="5099" w:type="dxa"/>
            <w:gridSpan w:val="3"/>
            <w:noWrap w:val="0"/>
            <w:vAlign w:val="center"/>
          </w:tcPr>
          <w:p w14:paraId="2B2AFBB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机房要保持清洁、卫生、整齐</w:t>
            </w:r>
          </w:p>
        </w:tc>
        <w:tc>
          <w:tcPr>
            <w:tcW w:w="1663" w:type="dxa"/>
            <w:noWrap w:val="0"/>
            <w:vAlign w:val="center"/>
          </w:tcPr>
          <w:p w14:paraId="4C0A284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A6DFD4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212C0D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99FE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E340B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BC7DC8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F033AE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B09DC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68F4DB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严禁易燃易爆和强磁物品及其它与机房工作无关的物品进入机房</w:t>
            </w:r>
          </w:p>
        </w:tc>
        <w:tc>
          <w:tcPr>
            <w:tcW w:w="1663" w:type="dxa"/>
            <w:noWrap w:val="0"/>
            <w:vAlign w:val="center"/>
          </w:tcPr>
          <w:p w14:paraId="738F8FF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AEE5F8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F789C7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AF47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111D76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4123D2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9A8705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DCF697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ECB612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关键设备</w:t>
            </w:r>
            <w:r>
              <w:rPr>
                <w:rFonts w:hint="eastAsia" w:ascii="仿宋_GB2312" w:hAnsi="仿宋_GB2312" w:eastAsia="仿宋_GB2312" w:cs="仿宋_GB2312"/>
                <w:b w:val="0"/>
                <w:bCs w:val="0"/>
                <w:sz w:val="28"/>
                <w:szCs w:val="28"/>
                <w:highlight w:val="none"/>
                <w:lang w:eastAsia="zh-CN"/>
              </w:rPr>
              <w:t>应</w:t>
            </w:r>
            <w:r>
              <w:rPr>
                <w:rFonts w:hint="eastAsia" w:ascii="仿宋_GB2312" w:hAnsi="仿宋_GB2312" w:eastAsia="仿宋_GB2312" w:cs="仿宋_GB2312"/>
                <w:b w:val="0"/>
                <w:bCs w:val="0"/>
                <w:sz w:val="28"/>
                <w:szCs w:val="28"/>
                <w:highlight w:val="none"/>
              </w:rPr>
              <w:t>放置服务器机房内，不得自行配置或更换，更不能挪作它用</w:t>
            </w:r>
          </w:p>
        </w:tc>
        <w:tc>
          <w:tcPr>
            <w:tcW w:w="1663" w:type="dxa"/>
            <w:noWrap w:val="0"/>
            <w:vAlign w:val="center"/>
          </w:tcPr>
          <w:p w14:paraId="5A1BC0F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4DB441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91EE9E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505F2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E919CF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225576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A66033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5A0C8C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771DBD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配备合格的气体灭火系统、消防器材</w:t>
            </w:r>
          </w:p>
        </w:tc>
        <w:tc>
          <w:tcPr>
            <w:tcW w:w="1663" w:type="dxa"/>
            <w:noWrap w:val="0"/>
            <w:vAlign w:val="center"/>
          </w:tcPr>
          <w:p w14:paraId="1059B9E3">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A778A54">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D37B8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00E6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800336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B007CA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8A919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96D8C9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A60AA00">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具备火灾报警系统并运行正常</w:t>
            </w:r>
          </w:p>
        </w:tc>
        <w:tc>
          <w:tcPr>
            <w:tcW w:w="1663" w:type="dxa"/>
            <w:noWrap w:val="0"/>
            <w:vAlign w:val="center"/>
          </w:tcPr>
          <w:p w14:paraId="32E3E123">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43F6C3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A5A6A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D91F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D3CCE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1CF546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24BDAE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285517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43B2BBA">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消防疏散通道畅通</w:t>
            </w:r>
          </w:p>
        </w:tc>
        <w:tc>
          <w:tcPr>
            <w:tcW w:w="1663" w:type="dxa"/>
            <w:noWrap w:val="0"/>
            <w:vAlign w:val="center"/>
          </w:tcPr>
          <w:p w14:paraId="701B149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F5DEC9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B28E75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28EDD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25A955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979356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83320C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69F36E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07A794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疏散门外开</w:t>
            </w:r>
          </w:p>
        </w:tc>
        <w:tc>
          <w:tcPr>
            <w:tcW w:w="1663" w:type="dxa"/>
            <w:noWrap w:val="0"/>
            <w:vAlign w:val="center"/>
          </w:tcPr>
          <w:p w14:paraId="064954DD">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EC12FC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000D4C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3D5E7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4387A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9A82D1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C120C9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CC0B27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305AEBF">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通风设施齐备，通风良好</w:t>
            </w:r>
          </w:p>
        </w:tc>
        <w:tc>
          <w:tcPr>
            <w:tcW w:w="1663" w:type="dxa"/>
            <w:noWrap w:val="0"/>
            <w:vAlign w:val="center"/>
          </w:tcPr>
          <w:p w14:paraId="673A1AEF">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21D545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5BAA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DA313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9D3F2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42BB49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D8B840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728CC9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8F1E35E">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UPS电池间通风良好 </w:t>
            </w:r>
          </w:p>
        </w:tc>
        <w:tc>
          <w:tcPr>
            <w:tcW w:w="1663" w:type="dxa"/>
            <w:noWrap w:val="0"/>
            <w:vAlign w:val="center"/>
          </w:tcPr>
          <w:p w14:paraId="41170D0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E27ABC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2AE1E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13F9D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6ED6D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95FE1B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351D3A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8129EF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2FB218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配备空气呼吸器、消防自救呼吸器、防护服等应急救援物资</w:t>
            </w:r>
          </w:p>
        </w:tc>
        <w:tc>
          <w:tcPr>
            <w:tcW w:w="1663" w:type="dxa"/>
            <w:noWrap w:val="0"/>
            <w:vAlign w:val="center"/>
          </w:tcPr>
          <w:p w14:paraId="127EE40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A670CC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068C3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0B0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DB50AF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D75D82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E2957A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91BCAA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D020B7E">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应急照明、安全警示标</w:t>
            </w:r>
            <w:r>
              <w:rPr>
                <w:rFonts w:hint="eastAsia" w:ascii="仿宋_GB2312" w:hAnsi="仿宋_GB2312" w:eastAsia="仿宋_GB2312" w:cs="仿宋_GB2312"/>
                <w:b w:val="0"/>
                <w:bCs w:val="0"/>
                <w:sz w:val="28"/>
                <w:szCs w:val="28"/>
                <w:highlight w:val="none"/>
                <w:lang w:val="en-US" w:eastAsia="zh-CN"/>
              </w:rPr>
              <w:t>识</w:t>
            </w:r>
            <w:r>
              <w:rPr>
                <w:rFonts w:hint="eastAsia" w:ascii="仿宋_GB2312" w:hAnsi="仿宋_GB2312" w:eastAsia="仿宋_GB2312" w:cs="仿宋_GB2312"/>
                <w:b w:val="0"/>
                <w:bCs w:val="0"/>
                <w:sz w:val="28"/>
                <w:szCs w:val="28"/>
                <w:highlight w:val="none"/>
              </w:rPr>
              <w:t>齐全完好</w:t>
            </w:r>
          </w:p>
        </w:tc>
        <w:tc>
          <w:tcPr>
            <w:tcW w:w="1663" w:type="dxa"/>
            <w:noWrap w:val="0"/>
            <w:vAlign w:val="center"/>
          </w:tcPr>
          <w:p w14:paraId="31C7B41C">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173F79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61711F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729E2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B0AFF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4CC9B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A10312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F0FF97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7D40890">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机房环境、消防设施、警示标识、应急物资等应定期检查</w:t>
            </w:r>
          </w:p>
        </w:tc>
        <w:tc>
          <w:tcPr>
            <w:tcW w:w="1663" w:type="dxa"/>
            <w:noWrap w:val="0"/>
            <w:vAlign w:val="center"/>
          </w:tcPr>
          <w:p w14:paraId="4834B43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9F0506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691A3B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749F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98" w:type="dxa"/>
            <w:vMerge w:val="continue"/>
            <w:noWrap w:val="0"/>
            <w:vAlign w:val="center"/>
          </w:tcPr>
          <w:p w14:paraId="7634580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F7FD4C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6D6F99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6D73E31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数据中心、机房的电气安全：配备漏电保护，防止人员电击；配备防雷设施，防止雷电对计算机、人员的伤害；配备不间断电源，保障数据中心的持续运营；机柜、设备及周边环境留有安全间距，不</w:t>
            </w:r>
            <w:r>
              <w:rPr>
                <w:rFonts w:hint="eastAsia" w:ascii="仿宋_GB2312" w:hAnsi="仿宋_GB2312" w:cs="仿宋_GB2312"/>
                <w:b w:val="0"/>
                <w:bCs w:val="0"/>
                <w:sz w:val="28"/>
                <w:szCs w:val="28"/>
                <w:highlight w:val="none"/>
                <w:lang w:eastAsia="zh-CN"/>
              </w:rPr>
              <w:t>得</w:t>
            </w:r>
            <w:r>
              <w:rPr>
                <w:rFonts w:hint="eastAsia" w:ascii="仿宋_GB2312" w:hAnsi="仿宋_GB2312" w:eastAsia="仿宋_GB2312" w:cs="仿宋_GB2312"/>
                <w:b w:val="0"/>
                <w:bCs w:val="0"/>
                <w:sz w:val="28"/>
                <w:szCs w:val="28"/>
                <w:highlight w:val="none"/>
              </w:rPr>
              <w:t>随意拉接电线，安装电器设备、布线时由具有电工作业操作证的专业人员操作，设置安全警示标</w:t>
            </w:r>
            <w:r>
              <w:rPr>
                <w:rFonts w:hint="eastAsia" w:ascii="仿宋_GB2312" w:hAnsi="仿宋_GB2312" w:eastAsia="仿宋_GB2312" w:cs="仿宋_GB2312"/>
                <w:b w:val="0"/>
                <w:bCs w:val="0"/>
                <w:sz w:val="28"/>
                <w:szCs w:val="28"/>
                <w:highlight w:val="none"/>
                <w:lang w:eastAsia="zh-CN"/>
              </w:rPr>
              <w:t>识</w:t>
            </w:r>
            <w:r>
              <w:rPr>
                <w:rFonts w:hint="eastAsia" w:ascii="仿宋_GB2312" w:hAnsi="仿宋_GB2312" w:eastAsia="仿宋_GB2312" w:cs="仿宋_GB2312"/>
                <w:b w:val="0"/>
                <w:bCs w:val="0"/>
                <w:sz w:val="28"/>
                <w:szCs w:val="28"/>
                <w:highlight w:val="none"/>
              </w:rPr>
              <w:t>，定期对用电设备进行检查。</w:t>
            </w:r>
          </w:p>
        </w:tc>
        <w:tc>
          <w:tcPr>
            <w:tcW w:w="5099" w:type="dxa"/>
            <w:gridSpan w:val="3"/>
            <w:noWrap w:val="0"/>
            <w:vAlign w:val="center"/>
          </w:tcPr>
          <w:p w14:paraId="5993C68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配备漏电保护</w:t>
            </w:r>
          </w:p>
        </w:tc>
        <w:tc>
          <w:tcPr>
            <w:tcW w:w="1663" w:type="dxa"/>
            <w:noWrap w:val="0"/>
            <w:vAlign w:val="center"/>
          </w:tcPr>
          <w:p w14:paraId="652DA6D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40C65E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9D2271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E4F8C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98" w:type="dxa"/>
            <w:vMerge w:val="continue"/>
            <w:noWrap w:val="0"/>
            <w:vAlign w:val="center"/>
          </w:tcPr>
          <w:p w14:paraId="204A5F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72F0A3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DFA623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6DD33B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126370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配备防雷击设施</w:t>
            </w:r>
          </w:p>
        </w:tc>
        <w:tc>
          <w:tcPr>
            <w:tcW w:w="1663" w:type="dxa"/>
            <w:noWrap w:val="0"/>
            <w:vAlign w:val="center"/>
          </w:tcPr>
          <w:p w14:paraId="403B565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7012ED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F1B3BB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6413E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98" w:type="dxa"/>
            <w:vMerge w:val="continue"/>
            <w:noWrap w:val="0"/>
            <w:vAlign w:val="center"/>
          </w:tcPr>
          <w:p w14:paraId="3A0416E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0F4C46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DED083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C701F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A56C47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配备不间断电源并进行日常安全管理</w:t>
            </w:r>
          </w:p>
        </w:tc>
        <w:tc>
          <w:tcPr>
            <w:tcW w:w="1663" w:type="dxa"/>
            <w:noWrap w:val="0"/>
            <w:vAlign w:val="center"/>
          </w:tcPr>
          <w:p w14:paraId="144BEC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B9F4AB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BD9FF2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BFBE2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B7928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98D97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13CFD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8A22C2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D55B6F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机房内规范布线，电源电路不私拉乱接</w:t>
            </w:r>
          </w:p>
        </w:tc>
        <w:tc>
          <w:tcPr>
            <w:tcW w:w="1663" w:type="dxa"/>
            <w:noWrap w:val="0"/>
            <w:vAlign w:val="center"/>
          </w:tcPr>
          <w:p w14:paraId="4CFFFEA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C6C8DD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7328AC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9460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17DCFD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0A76EB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D7A6CB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872A0A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E9D7C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不随意对设备断电、更改设备供电线路，不随意串接、并接、搭接各种供电线路</w:t>
            </w:r>
          </w:p>
        </w:tc>
        <w:tc>
          <w:tcPr>
            <w:tcW w:w="1663" w:type="dxa"/>
            <w:noWrap w:val="0"/>
            <w:vAlign w:val="center"/>
          </w:tcPr>
          <w:p w14:paraId="016104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ECD747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7BF22E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8FD2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84BD60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6B0578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F0F750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5E6E03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CCC976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电脑、服务器、机柜等电器周围不应存放可燃和易燃物</w:t>
            </w:r>
          </w:p>
        </w:tc>
        <w:tc>
          <w:tcPr>
            <w:tcW w:w="1663" w:type="dxa"/>
            <w:noWrap w:val="0"/>
            <w:vAlign w:val="center"/>
          </w:tcPr>
          <w:p w14:paraId="3641B32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CC1D5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553BE6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6779C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F18785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AF19A2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E77B2B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B6F080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DA2E90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机房电气设备绝缘完好，设备的带电部分与地面及其他带电部分应保持一定的安全距离</w:t>
            </w:r>
          </w:p>
        </w:tc>
        <w:tc>
          <w:tcPr>
            <w:tcW w:w="1663" w:type="dxa"/>
            <w:noWrap w:val="0"/>
            <w:vAlign w:val="center"/>
          </w:tcPr>
          <w:p w14:paraId="38FDE15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D7F3A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F1617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76341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5B127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B79E8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95445F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69312E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61DB25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机柜、配电箱箱体完整，运行温度正常</w:t>
            </w:r>
          </w:p>
        </w:tc>
        <w:tc>
          <w:tcPr>
            <w:tcW w:w="1663" w:type="dxa"/>
            <w:noWrap w:val="0"/>
            <w:vAlign w:val="center"/>
          </w:tcPr>
          <w:p w14:paraId="652AE7B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7EC83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75275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2A797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C84C40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C56A65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64B54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631904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3ADA99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UPS电池间采用防爆型灯具、通风机</w:t>
            </w:r>
            <w:r>
              <w:rPr>
                <w:rFonts w:hint="eastAsia" w:ascii="仿宋_GB2312" w:hAnsi="仿宋_GB2312" w:cs="仿宋_GB2312"/>
                <w:b w:val="0"/>
                <w:bCs w:val="0"/>
                <w:sz w:val="28"/>
                <w:szCs w:val="28"/>
                <w:highlight w:val="none"/>
                <w:lang w:eastAsia="zh-CN"/>
              </w:rPr>
              <w:t>，</w:t>
            </w:r>
            <w:r>
              <w:rPr>
                <w:rFonts w:hint="eastAsia" w:ascii="仿宋_GB2312" w:hAnsi="仿宋_GB2312" w:eastAsia="仿宋_GB2312" w:cs="仿宋_GB2312"/>
                <w:b w:val="0"/>
                <w:bCs w:val="0"/>
                <w:sz w:val="28"/>
                <w:szCs w:val="28"/>
                <w:highlight w:val="none"/>
              </w:rPr>
              <w:t>不使用产生火花的电器</w:t>
            </w:r>
          </w:p>
        </w:tc>
        <w:tc>
          <w:tcPr>
            <w:tcW w:w="1663" w:type="dxa"/>
            <w:noWrap w:val="0"/>
            <w:vAlign w:val="center"/>
          </w:tcPr>
          <w:p w14:paraId="1302279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6D1172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ACD4C4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7381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9CB3E1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9077EB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7EBDDF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858B1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538176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按要求设置安全警示</w:t>
            </w:r>
            <w:r>
              <w:rPr>
                <w:rFonts w:hint="eastAsia" w:ascii="仿宋_GB2312" w:hAnsi="仿宋_GB2312" w:cs="仿宋_GB2312"/>
                <w:b w:val="0"/>
                <w:bCs w:val="0"/>
                <w:sz w:val="28"/>
                <w:szCs w:val="28"/>
                <w:highlight w:val="none"/>
                <w:lang w:eastAsia="zh-CN"/>
              </w:rPr>
              <w:t>标识</w:t>
            </w:r>
          </w:p>
        </w:tc>
        <w:tc>
          <w:tcPr>
            <w:tcW w:w="1663" w:type="dxa"/>
            <w:noWrap w:val="0"/>
            <w:vAlign w:val="center"/>
          </w:tcPr>
          <w:p w14:paraId="5ECD9E6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EA9602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5A39C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55F6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0ADFE6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CA1E1A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467498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5D960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896379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最后离开机房的工作人员，应检查所有用电设备，应关闭长时间带电运作可能会产生严峻后果的用电设备</w:t>
            </w:r>
          </w:p>
        </w:tc>
        <w:tc>
          <w:tcPr>
            <w:tcW w:w="1663" w:type="dxa"/>
            <w:noWrap w:val="0"/>
            <w:vAlign w:val="center"/>
          </w:tcPr>
          <w:p w14:paraId="1D1A2F2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855D1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332A8C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B86C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FF5F7F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57B75E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F041EE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6CB4FC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69B425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定期对供电、用电设备安全情况进行检查，保存记录</w:t>
            </w:r>
          </w:p>
        </w:tc>
        <w:tc>
          <w:tcPr>
            <w:tcW w:w="1663" w:type="dxa"/>
            <w:noWrap w:val="0"/>
            <w:vAlign w:val="center"/>
          </w:tcPr>
          <w:p w14:paraId="39EE545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785100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A44559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3302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1D4726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CBBC2C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E1F9ED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4D5AD6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E8B23A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电工持证上岗</w:t>
            </w:r>
          </w:p>
        </w:tc>
        <w:tc>
          <w:tcPr>
            <w:tcW w:w="1663" w:type="dxa"/>
            <w:noWrap w:val="0"/>
            <w:vAlign w:val="center"/>
          </w:tcPr>
          <w:p w14:paraId="6822C1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332F1C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F98ED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0A525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exact"/>
        </w:trPr>
        <w:tc>
          <w:tcPr>
            <w:tcW w:w="798" w:type="dxa"/>
            <w:vMerge w:val="continue"/>
            <w:noWrap w:val="0"/>
            <w:vAlign w:val="center"/>
          </w:tcPr>
          <w:p w14:paraId="47D7CD9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C69C35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4C7ABC1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网络</w:t>
            </w:r>
          </w:p>
          <w:p w14:paraId="4BB6CB6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p w14:paraId="61A2F4B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防护</w:t>
            </w:r>
          </w:p>
        </w:tc>
        <w:tc>
          <w:tcPr>
            <w:tcW w:w="2748" w:type="dxa"/>
            <w:vMerge w:val="restart"/>
            <w:noWrap w:val="0"/>
            <w:vAlign w:val="center"/>
          </w:tcPr>
          <w:p w14:paraId="00EF06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①加强无线网、互联网接入边界控制，部署防火墙、WAF、入侵检测等设备；</w:t>
            </w:r>
          </w:p>
          <w:p w14:paraId="6FEB532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②使用基线加固、病毒防范、漏洞扫描等技术手段，有效降低外部攻击、</w:t>
            </w:r>
            <w:r>
              <w:rPr>
                <w:rFonts w:hint="eastAsia" w:ascii="仿宋_GB2312" w:hAnsi="仿宋_GB2312" w:eastAsia="仿宋_GB2312" w:cs="仿宋_GB2312"/>
                <w:b w:val="0"/>
                <w:bCs w:val="0"/>
                <w:sz w:val="28"/>
                <w:szCs w:val="28"/>
                <w:highlight w:val="none"/>
                <w:lang w:val="en-US" w:eastAsia="zh-CN"/>
              </w:rPr>
              <w:t>信息泄露</w:t>
            </w:r>
            <w:r>
              <w:rPr>
                <w:rFonts w:hint="eastAsia" w:ascii="仿宋_GB2312" w:hAnsi="仿宋_GB2312" w:eastAsia="仿宋_GB2312" w:cs="仿宋_GB2312"/>
                <w:b w:val="0"/>
                <w:bCs w:val="0"/>
                <w:sz w:val="28"/>
                <w:szCs w:val="28"/>
                <w:highlight w:val="none"/>
              </w:rPr>
              <w:t>等风险；</w:t>
            </w:r>
          </w:p>
          <w:p w14:paraId="6571D8C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③建立身份认证与访问管理体系，企业落实账号的最小权限原则。</w:t>
            </w:r>
          </w:p>
        </w:tc>
        <w:tc>
          <w:tcPr>
            <w:tcW w:w="5099" w:type="dxa"/>
            <w:gridSpan w:val="3"/>
            <w:noWrap w:val="0"/>
            <w:vAlign w:val="center"/>
          </w:tcPr>
          <w:p w14:paraId="0A2143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部署防火墙、WAF、入侵检测与防御等技术设备</w:t>
            </w:r>
          </w:p>
        </w:tc>
        <w:tc>
          <w:tcPr>
            <w:tcW w:w="1663" w:type="dxa"/>
            <w:noWrap w:val="0"/>
            <w:vAlign w:val="center"/>
          </w:tcPr>
          <w:p w14:paraId="5348945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53B83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288292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1A06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exact"/>
        </w:trPr>
        <w:tc>
          <w:tcPr>
            <w:tcW w:w="798" w:type="dxa"/>
            <w:vMerge w:val="continue"/>
            <w:noWrap w:val="0"/>
            <w:vAlign w:val="center"/>
          </w:tcPr>
          <w:p w14:paraId="7951830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C782C6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1AD824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569295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186DE3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执行终端基线加固、补丁管理、病毒防范等防护要求</w:t>
            </w:r>
          </w:p>
        </w:tc>
        <w:tc>
          <w:tcPr>
            <w:tcW w:w="1663" w:type="dxa"/>
            <w:noWrap w:val="0"/>
            <w:vAlign w:val="center"/>
          </w:tcPr>
          <w:p w14:paraId="7BD4C8F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1DD70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F2BCF5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E1E4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2" w:hRule="exact"/>
        </w:trPr>
        <w:tc>
          <w:tcPr>
            <w:tcW w:w="798" w:type="dxa"/>
            <w:vMerge w:val="continue"/>
            <w:noWrap w:val="0"/>
            <w:vAlign w:val="center"/>
          </w:tcPr>
          <w:p w14:paraId="6A4DE59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87BD0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408D52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8EC341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52E8D0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执行数据库身份认证与角色授权管控机制，同时要落实账号的最小权限原则与特权账号管理</w:t>
            </w:r>
          </w:p>
        </w:tc>
        <w:tc>
          <w:tcPr>
            <w:tcW w:w="1663" w:type="dxa"/>
            <w:noWrap w:val="0"/>
            <w:vAlign w:val="center"/>
          </w:tcPr>
          <w:p w14:paraId="28F33C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3ED9A1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216942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0194E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7" w:hRule="atLeast"/>
        </w:trPr>
        <w:tc>
          <w:tcPr>
            <w:tcW w:w="798" w:type="dxa"/>
            <w:vMerge w:val="continue"/>
            <w:noWrap w:val="0"/>
            <w:vAlign w:val="center"/>
          </w:tcPr>
          <w:p w14:paraId="7429656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049C3A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1B0855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敏感</w:t>
            </w:r>
          </w:p>
          <w:p w14:paraId="28AF2AD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数据</w:t>
            </w:r>
          </w:p>
          <w:p w14:paraId="7FA7C7A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全周期</w:t>
            </w:r>
          </w:p>
          <w:p w14:paraId="1BA96C2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管理</w:t>
            </w:r>
          </w:p>
          <w:p w14:paraId="1B45438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0DEC003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企业对敏感数据的全生命周期实施规范管控，保障数据完整性、保密性，防范敏感数据的泄露、篡改、丢失等风险。</w:t>
            </w:r>
          </w:p>
          <w:p w14:paraId="0D4AD57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8324F2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建立</w:t>
            </w:r>
            <w:r>
              <w:rPr>
                <w:rFonts w:hint="eastAsia" w:ascii="仿宋_GB2312" w:hAnsi="仿宋_GB2312" w:eastAsia="仿宋_GB2312" w:cs="仿宋_GB2312"/>
                <w:b w:val="0"/>
                <w:bCs w:val="0"/>
                <w:sz w:val="28"/>
                <w:szCs w:val="28"/>
                <w:highlight w:val="none"/>
              </w:rPr>
              <w:t>敏感数据采集、传输、存储、使用、共享、销毁各环节的安全管控策略</w:t>
            </w:r>
          </w:p>
        </w:tc>
        <w:tc>
          <w:tcPr>
            <w:tcW w:w="1663" w:type="dxa"/>
            <w:noWrap w:val="0"/>
            <w:vAlign w:val="center"/>
          </w:tcPr>
          <w:p w14:paraId="2765EB5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B21F36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213A87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8EB6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AB4D0D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9B480E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426B91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070B95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2B878A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采用数据加密、单向哈希存储等技术手段，对不同类型的敏感数据实施差异化安全防护</w:t>
            </w:r>
          </w:p>
        </w:tc>
        <w:tc>
          <w:tcPr>
            <w:tcW w:w="1663" w:type="dxa"/>
            <w:noWrap w:val="0"/>
            <w:vAlign w:val="center"/>
          </w:tcPr>
          <w:p w14:paraId="5FB6ED7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59B9B1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73548F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AA3D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exact"/>
        </w:trPr>
        <w:tc>
          <w:tcPr>
            <w:tcW w:w="798" w:type="dxa"/>
            <w:vMerge w:val="continue"/>
            <w:noWrap w:val="0"/>
            <w:vAlign w:val="center"/>
          </w:tcPr>
          <w:p w14:paraId="7044BAC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C791D4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5BDE463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制定</w:t>
            </w:r>
          </w:p>
          <w:p w14:paraId="69AA3FE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系统</w:t>
            </w:r>
          </w:p>
          <w:p w14:paraId="66AF553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应急</w:t>
            </w:r>
          </w:p>
          <w:p w14:paraId="249220E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预案</w:t>
            </w:r>
          </w:p>
          <w:p w14:paraId="2542C00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3A29237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①企业运行的重要系统，应制定信息系统应急预案，并定期演练、评审和修订；</w:t>
            </w:r>
          </w:p>
          <w:p w14:paraId="1F46DCF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②企业数据中心做好系统的容灾备份工作，实现数据备份异地保存、异地数据实时备份或实现异地灾备等；</w:t>
            </w:r>
          </w:p>
          <w:p w14:paraId="6080B9B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③构建全流程的业务连续性管理体系，持续保障业务的恢复能力。</w:t>
            </w:r>
          </w:p>
          <w:p w14:paraId="39D9616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A1A844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针对重要的信息系统制定了应急预案</w:t>
            </w:r>
          </w:p>
        </w:tc>
        <w:tc>
          <w:tcPr>
            <w:tcW w:w="1663" w:type="dxa"/>
            <w:noWrap w:val="0"/>
            <w:vAlign w:val="center"/>
          </w:tcPr>
          <w:p w14:paraId="41BC8CE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5BE432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D5260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D0139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exact"/>
        </w:trPr>
        <w:tc>
          <w:tcPr>
            <w:tcW w:w="798" w:type="dxa"/>
            <w:vMerge w:val="continue"/>
            <w:noWrap w:val="0"/>
            <w:vAlign w:val="center"/>
          </w:tcPr>
          <w:p w14:paraId="56BA07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0E0EF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8D812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0C913D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BDD09D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定期演练、评审和修订系统的应急预案</w:t>
            </w:r>
          </w:p>
        </w:tc>
        <w:tc>
          <w:tcPr>
            <w:tcW w:w="1663" w:type="dxa"/>
            <w:noWrap w:val="0"/>
            <w:vAlign w:val="center"/>
          </w:tcPr>
          <w:p w14:paraId="1E14575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465028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BDE65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FE02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exact"/>
        </w:trPr>
        <w:tc>
          <w:tcPr>
            <w:tcW w:w="798" w:type="dxa"/>
            <w:vMerge w:val="continue"/>
            <w:noWrap w:val="0"/>
            <w:vAlign w:val="center"/>
          </w:tcPr>
          <w:p w14:paraId="3251339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ED462A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DA98B1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557C68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8014C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企业数据中心根据需要实现数据备份异地保存、异地数据实时备份或实现异地灾备</w:t>
            </w:r>
          </w:p>
        </w:tc>
        <w:tc>
          <w:tcPr>
            <w:tcW w:w="1663" w:type="dxa"/>
            <w:noWrap w:val="0"/>
            <w:vAlign w:val="center"/>
          </w:tcPr>
          <w:p w14:paraId="1474321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5E3CEC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78E9F3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BC196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3" w:hRule="exact"/>
        </w:trPr>
        <w:tc>
          <w:tcPr>
            <w:tcW w:w="798" w:type="dxa"/>
            <w:vMerge w:val="continue"/>
            <w:noWrap w:val="0"/>
            <w:vAlign w:val="center"/>
          </w:tcPr>
          <w:p w14:paraId="0D8BC3B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194BFF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E8EB17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B5E90C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52AD6F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开展业务影响分析，设定RPO、RTO等恢复目标并制定业务连续性计划</w:t>
            </w:r>
          </w:p>
        </w:tc>
        <w:tc>
          <w:tcPr>
            <w:tcW w:w="1663" w:type="dxa"/>
            <w:noWrap w:val="0"/>
            <w:vAlign w:val="center"/>
          </w:tcPr>
          <w:p w14:paraId="778C29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C995A0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E5A64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D88F6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AE9F8E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B73891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4DBC225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特殊场所、设施设备的安全</w:t>
            </w:r>
          </w:p>
        </w:tc>
        <w:tc>
          <w:tcPr>
            <w:tcW w:w="2748" w:type="dxa"/>
            <w:vMerge w:val="restart"/>
            <w:noWrap w:val="0"/>
            <w:vAlign w:val="center"/>
          </w:tcPr>
          <w:p w14:paraId="52BDB62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使用燃气场所安全：</w:t>
            </w:r>
          </w:p>
          <w:p w14:paraId="57BB3C2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使用燃气、燃气设备的场所，防止发生燃气泄漏导致的人员中毒或爆炸事故。</w:t>
            </w:r>
          </w:p>
        </w:tc>
        <w:tc>
          <w:tcPr>
            <w:tcW w:w="5099" w:type="dxa"/>
            <w:gridSpan w:val="3"/>
            <w:noWrap w:val="0"/>
            <w:vAlign w:val="center"/>
          </w:tcPr>
          <w:p w14:paraId="5CBF099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遵守规章制度和安全操作规程</w:t>
            </w:r>
          </w:p>
        </w:tc>
        <w:tc>
          <w:tcPr>
            <w:tcW w:w="1663" w:type="dxa"/>
            <w:noWrap w:val="0"/>
            <w:vAlign w:val="center"/>
          </w:tcPr>
          <w:p w14:paraId="07928F7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DEFD5E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3113C3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858AD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CB94EC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B7A976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4CA664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5E36C8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03032E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使用燃气场所设置可燃气体报警器</w:t>
            </w:r>
          </w:p>
        </w:tc>
        <w:tc>
          <w:tcPr>
            <w:tcW w:w="1663" w:type="dxa"/>
            <w:noWrap w:val="0"/>
            <w:vAlign w:val="center"/>
          </w:tcPr>
          <w:p w14:paraId="0FE5DB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E59151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DE63F6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AD0EC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424E0F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854A1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36A3CE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8F3264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AAF12F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管道法兰进行静电跨接</w:t>
            </w:r>
          </w:p>
        </w:tc>
        <w:tc>
          <w:tcPr>
            <w:tcW w:w="1663" w:type="dxa"/>
            <w:noWrap w:val="0"/>
            <w:vAlign w:val="center"/>
          </w:tcPr>
          <w:p w14:paraId="181928F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770DDE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097CC0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D5693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98" w:type="dxa"/>
            <w:vMerge w:val="continue"/>
            <w:noWrap w:val="0"/>
            <w:vAlign w:val="center"/>
          </w:tcPr>
          <w:p w14:paraId="772710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42C75E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601AF9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D02DAE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0B8840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使用燃气场所通风良好</w:t>
            </w:r>
          </w:p>
        </w:tc>
        <w:tc>
          <w:tcPr>
            <w:tcW w:w="1663" w:type="dxa"/>
            <w:noWrap w:val="0"/>
            <w:vAlign w:val="center"/>
          </w:tcPr>
          <w:p w14:paraId="36F2C93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0655B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084DCC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105A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6" w:hRule="atLeast"/>
        </w:trPr>
        <w:tc>
          <w:tcPr>
            <w:tcW w:w="798" w:type="dxa"/>
            <w:vMerge w:val="continue"/>
            <w:noWrap w:val="0"/>
            <w:vAlign w:val="center"/>
          </w:tcPr>
          <w:p w14:paraId="57624DB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AE6A8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F8D0E0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947213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6D9FD7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制定应急预案并按期演练</w:t>
            </w:r>
          </w:p>
        </w:tc>
        <w:tc>
          <w:tcPr>
            <w:tcW w:w="1663" w:type="dxa"/>
            <w:noWrap w:val="0"/>
            <w:vAlign w:val="center"/>
          </w:tcPr>
          <w:p w14:paraId="5BE37A6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D3F8B7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E96288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5A5B0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5" w:hRule="atLeast"/>
        </w:trPr>
        <w:tc>
          <w:tcPr>
            <w:tcW w:w="798" w:type="dxa"/>
            <w:vMerge w:val="continue"/>
            <w:noWrap w:val="0"/>
            <w:vAlign w:val="center"/>
          </w:tcPr>
          <w:p w14:paraId="096679C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7EDC7F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14A7707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w:t>
            </w:r>
          </w:p>
          <w:p w14:paraId="7399950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tc>
        <w:tc>
          <w:tcPr>
            <w:tcW w:w="2748" w:type="dxa"/>
            <w:vMerge w:val="restart"/>
            <w:noWrap w:val="0"/>
            <w:vAlign w:val="center"/>
          </w:tcPr>
          <w:p w14:paraId="516614A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消防基础条件：</w:t>
            </w:r>
          </w:p>
          <w:p w14:paraId="483B8C7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①落实消防安全责任制，制定本单位的消防安全制度、消防安全操作规程，制定灭火和应急疏散预案；</w:t>
            </w:r>
          </w:p>
          <w:p w14:paraId="13951885">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②按照国家标准、行业标准配置消防设施、器材，设置消防安全</w:t>
            </w:r>
            <w:r>
              <w:rPr>
                <w:rFonts w:hint="eastAsia" w:ascii="仿宋_GB2312" w:hAnsi="仿宋_GB2312" w:cs="仿宋_GB2312"/>
                <w:b w:val="0"/>
                <w:bCs w:val="0"/>
                <w:kern w:val="0"/>
                <w:sz w:val="28"/>
                <w:szCs w:val="28"/>
                <w:highlight w:val="none"/>
                <w:lang w:eastAsia="zh-CN"/>
              </w:rPr>
              <w:t>标识</w:t>
            </w:r>
            <w:r>
              <w:rPr>
                <w:rFonts w:hint="eastAsia" w:ascii="仿宋_GB2312" w:hAnsi="仿宋_GB2312" w:eastAsia="仿宋_GB2312" w:cs="仿宋_GB2312"/>
                <w:b w:val="0"/>
                <w:bCs w:val="0"/>
                <w:kern w:val="0"/>
                <w:sz w:val="28"/>
                <w:szCs w:val="28"/>
                <w:highlight w:val="none"/>
              </w:rPr>
              <w:t xml:space="preserve">，并定期组织检验、维修，确保完好有效；  </w:t>
            </w:r>
          </w:p>
          <w:p w14:paraId="007FD71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③对建筑消防设施每年至少进行一次全面检测，确保完好有效，检测记录应当完整准确，存档备查；   </w:t>
            </w:r>
          </w:p>
          <w:p w14:paraId="691095A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 xml:space="preserve">④保障疏散通道、安全出口、消防车通道畅通，保证防火防烟分区、防火间距符合消防技术标准；  </w:t>
            </w:r>
          </w:p>
          <w:p w14:paraId="21A17AD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 xml:space="preserve">⑤组织防火检查，及时消除火灾隐患；    </w:t>
            </w:r>
          </w:p>
          <w:p w14:paraId="504D3C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⑥组织进行有针对性的消防演练。</w:t>
            </w:r>
          </w:p>
        </w:tc>
        <w:tc>
          <w:tcPr>
            <w:tcW w:w="5099" w:type="dxa"/>
            <w:gridSpan w:val="3"/>
            <w:noWrap w:val="0"/>
            <w:vAlign w:val="center"/>
          </w:tcPr>
          <w:p w14:paraId="314F06F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消防安全制度、消防安全操作规程，制定灭火和应急疏散预案</w:t>
            </w:r>
          </w:p>
        </w:tc>
        <w:tc>
          <w:tcPr>
            <w:tcW w:w="1663" w:type="dxa"/>
            <w:noWrap w:val="0"/>
            <w:vAlign w:val="center"/>
          </w:tcPr>
          <w:p w14:paraId="44162FC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C57C46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A1589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B1417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5" w:hRule="atLeast"/>
        </w:trPr>
        <w:tc>
          <w:tcPr>
            <w:tcW w:w="798" w:type="dxa"/>
            <w:vMerge w:val="continue"/>
            <w:noWrap w:val="0"/>
            <w:vAlign w:val="center"/>
          </w:tcPr>
          <w:p w14:paraId="78A98B6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5DF04E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681710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AB6EDD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60CF5348">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建筑消防设施检测报告</w:t>
            </w:r>
          </w:p>
        </w:tc>
        <w:tc>
          <w:tcPr>
            <w:tcW w:w="1663" w:type="dxa"/>
            <w:noWrap w:val="0"/>
            <w:vAlign w:val="center"/>
          </w:tcPr>
          <w:p w14:paraId="6952EEF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5013E02">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76459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F7E19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98" w:type="dxa"/>
            <w:vMerge w:val="continue"/>
            <w:noWrap w:val="0"/>
            <w:vAlign w:val="center"/>
          </w:tcPr>
          <w:p w14:paraId="6D8A4DE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81A3A8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037BF4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6AE211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29CC50B4">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按要求配备消防器材，配备的种类、数量及安置地点应符合国家标准</w:t>
            </w:r>
          </w:p>
        </w:tc>
        <w:tc>
          <w:tcPr>
            <w:tcW w:w="1663" w:type="dxa"/>
            <w:noWrap w:val="0"/>
            <w:vAlign w:val="center"/>
          </w:tcPr>
          <w:p w14:paraId="49A07A2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ED5535D">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7B67A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60BDC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5" w:hRule="atLeast"/>
        </w:trPr>
        <w:tc>
          <w:tcPr>
            <w:tcW w:w="798" w:type="dxa"/>
            <w:vMerge w:val="continue"/>
            <w:noWrap w:val="0"/>
            <w:vAlign w:val="center"/>
          </w:tcPr>
          <w:p w14:paraId="071367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4BCD8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F931D6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D4C101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55BEFAB3">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消防设施与器材不得遮挡影响使用或者被挪作他用</w:t>
            </w:r>
          </w:p>
        </w:tc>
        <w:tc>
          <w:tcPr>
            <w:tcW w:w="1663" w:type="dxa"/>
            <w:noWrap w:val="0"/>
            <w:vAlign w:val="center"/>
          </w:tcPr>
          <w:p w14:paraId="6ACDDD7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0454E9D">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70E80E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03EF7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98" w:type="dxa"/>
            <w:vMerge w:val="continue"/>
            <w:noWrap w:val="0"/>
            <w:vAlign w:val="center"/>
          </w:tcPr>
          <w:p w14:paraId="5A32C25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A9CCE1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9611C5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BF94FD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5B449C9D">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消防设施与器材应设置在位置明显和便于取用的地点，且不得影响安全疏散</w:t>
            </w:r>
          </w:p>
        </w:tc>
        <w:tc>
          <w:tcPr>
            <w:tcW w:w="1663" w:type="dxa"/>
            <w:noWrap w:val="0"/>
            <w:vAlign w:val="center"/>
          </w:tcPr>
          <w:p w14:paraId="48E32BE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15938F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E9C9DD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5A14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98" w:type="dxa"/>
            <w:vMerge w:val="continue"/>
            <w:noWrap w:val="0"/>
            <w:vAlign w:val="center"/>
          </w:tcPr>
          <w:p w14:paraId="450A817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0F314E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31979C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19EB6A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7D585E2B">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灭火器及其附件完好无损，并定期检查，保留充</w:t>
            </w:r>
            <w:r>
              <w:rPr>
                <w:rFonts w:hint="eastAsia" w:ascii="仿宋_GB2312" w:hAnsi="仿宋_GB2312" w:eastAsia="仿宋_GB2312" w:cs="仿宋_GB2312"/>
                <w:b w:val="0"/>
                <w:bCs w:val="0"/>
                <w:kern w:val="0"/>
                <w:sz w:val="28"/>
                <w:szCs w:val="28"/>
                <w:highlight w:val="none"/>
                <w:lang w:eastAsia="zh-CN"/>
              </w:rPr>
              <w:t>装</w:t>
            </w:r>
            <w:r>
              <w:rPr>
                <w:rFonts w:hint="eastAsia" w:ascii="仿宋_GB2312" w:hAnsi="仿宋_GB2312" w:eastAsia="仿宋_GB2312" w:cs="仿宋_GB2312"/>
                <w:b w:val="0"/>
                <w:bCs w:val="0"/>
                <w:kern w:val="0"/>
                <w:sz w:val="28"/>
                <w:szCs w:val="28"/>
                <w:highlight w:val="none"/>
              </w:rPr>
              <w:t>记录</w:t>
            </w:r>
          </w:p>
        </w:tc>
        <w:tc>
          <w:tcPr>
            <w:tcW w:w="1663" w:type="dxa"/>
            <w:noWrap w:val="0"/>
            <w:vAlign w:val="center"/>
          </w:tcPr>
          <w:p w14:paraId="33A3401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4555F35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A44A2F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D6E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6" w:hRule="atLeast"/>
        </w:trPr>
        <w:tc>
          <w:tcPr>
            <w:tcW w:w="798" w:type="dxa"/>
            <w:vMerge w:val="continue"/>
            <w:noWrap w:val="0"/>
            <w:vAlign w:val="center"/>
          </w:tcPr>
          <w:p w14:paraId="20535F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E0ED9D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22A6C9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FAA60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787AD20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消防检查及整改记录</w:t>
            </w:r>
          </w:p>
        </w:tc>
        <w:tc>
          <w:tcPr>
            <w:tcW w:w="1663" w:type="dxa"/>
            <w:noWrap w:val="0"/>
            <w:vAlign w:val="center"/>
          </w:tcPr>
          <w:p w14:paraId="5D67C72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6F9D1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48D241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81492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798" w:type="dxa"/>
            <w:vMerge w:val="continue"/>
            <w:noWrap w:val="0"/>
            <w:vAlign w:val="center"/>
          </w:tcPr>
          <w:p w14:paraId="22D9A88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F448BA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4101CC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4DB82C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p>
        </w:tc>
        <w:tc>
          <w:tcPr>
            <w:tcW w:w="5099" w:type="dxa"/>
            <w:gridSpan w:val="3"/>
            <w:noWrap w:val="0"/>
            <w:vAlign w:val="center"/>
          </w:tcPr>
          <w:p w14:paraId="168AF11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消防演练记录</w:t>
            </w:r>
          </w:p>
        </w:tc>
        <w:tc>
          <w:tcPr>
            <w:tcW w:w="1663" w:type="dxa"/>
            <w:noWrap w:val="0"/>
            <w:vAlign w:val="center"/>
          </w:tcPr>
          <w:p w14:paraId="359AB5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69E908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0F9FFD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0AD6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E9CC0B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2104B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BE00EF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1A807F6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车道及应急疏散：任何单位、个人不得损坏、挪用或者擅自拆除、停用消防设施、器材，不得埋压、圈占、遮挡消火栓或者占用防火间距，不得占用、堵塞、封闭疏散通道、安全出口、消防车通道。人员密集场所的门窗不得设置影响逃生和灭火救援的障碍物。</w:t>
            </w:r>
          </w:p>
        </w:tc>
        <w:tc>
          <w:tcPr>
            <w:tcW w:w="5099" w:type="dxa"/>
            <w:gridSpan w:val="3"/>
            <w:noWrap w:val="0"/>
            <w:vAlign w:val="center"/>
          </w:tcPr>
          <w:p w14:paraId="365A9EF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消防车道的净宽度和净空高度均不应小于4m，转弯半径应满足消防车转弯的要求</w:t>
            </w:r>
          </w:p>
        </w:tc>
        <w:tc>
          <w:tcPr>
            <w:tcW w:w="1663" w:type="dxa"/>
            <w:noWrap w:val="0"/>
            <w:vAlign w:val="center"/>
          </w:tcPr>
          <w:p w14:paraId="3BDC259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FE2B45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D1EBAB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EF72E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356B5C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F8330C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7DC2F8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4D43F5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8BAB46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不得占用、堵塞、封闭消防车通道</w:t>
            </w:r>
          </w:p>
        </w:tc>
        <w:tc>
          <w:tcPr>
            <w:tcW w:w="1663" w:type="dxa"/>
            <w:noWrap w:val="0"/>
            <w:vAlign w:val="center"/>
          </w:tcPr>
          <w:p w14:paraId="7902642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C13DC6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01D931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F698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8" w:type="dxa"/>
            <w:vMerge w:val="continue"/>
            <w:noWrap w:val="0"/>
            <w:vAlign w:val="center"/>
          </w:tcPr>
          <w:p w14:paraId="6326C12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B00682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09D35C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3B585F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A95C04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安全出口、疏散用门不得上锁、封堵</w:t>
            </w:r>
          </w:p>
        </w:tc>
        <w:tc>
          <w:tcPr>
            <w:tcW w:w="1663" w:type="dxa"/>
            <w:noWrap w:val="0"/>
            <w:vAlign w:val="center"/>
          </w:tcPr>
          <w:p w14:paraId="0752F52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F745F6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5C4EBA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D918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6" w:hRule="atLeast"/>
        </w:trPr>
        <w:tc>
          <w:tcPr>
            <w:tcW w:w="798" w:type="dxa"/>
            <w:vMerge w:val="continue"/>
            <w:noWrap w:val="0"/>
            <w:vAlign w:val="center"/>
          </w:tcPr>
          <w:p w14:paraId="7A24D0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B35EF2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3FF59F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43B81C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8CB743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安全出口、疏散通道及重点部位应设置应急照明灯</w:t>
            </w:r>
          </w:p>
        </w:tc>
        <w:tc>
          <w:tcPr>
            <w:tcW w:w="1663" w:type="dxa"/>
            <w:noWrap w:val="0"/>
            <w:vAlign w:val="center"/>
          </w:tcPr>
          <w:p w14:paraId="2848CF2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A63F20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5C1D0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2FE66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00F155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0F43EE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7E758B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33BB3A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BDC6E7E">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消防安全疏散</w:t>
            </w:r>
            <w:r>
              <w:rPr>
                <w:rFonts w:hint="eastAsia" w:ascii="仿宋_GB2312" w:hAnsi="仿宋_GB2312" w:cs="仿宋_GB2312"/>
                <w:b w:val="0"/>
                <w:bCs w:val="0"/>
                <w:kern w:val="0"/>
                <w:sz w:val="28"/>
                <w:szCs w:val="28"/>
                <w:highlight w:val="none"/>
                <w:lang w:eastAsia="zh-CN"/>
              </w:rPr>
              <w:t>标识</w:t>
            </w:r>
            <w:r>
              <w:rPr>
                <w:rFonts w:hint="eastAsia" w:ascii="仿宋_GB2312" w:hAnsi="仿宋_GB2312" w:eastAsia="仿宋_GB2312" w:cs="仿宋_GB2312"/>
                <w:b w:val="0"/>
                <w:bCs w:val="0"/>
                <w:kern w:val="0"/>
                <w:sz w:val="28"/>
                <w:szCs w:val="28"/>
                <w:highlight w:val="none"/>
              </w:rPr>
              <w:t>应完好有效</w:t>
            </w:r>
          </w:p>
        </w:tc>
        <w:tc>
          <w:tcPr>
            <w:tcW w:w="1663" w:type="dxa"/>
            <w:noWrap w:val="0"/>
            <w:vAlign w:val="center"/>
          </w:tcPr>
          <w:p w14:paraId="1CEA2F3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0314D5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7B6F1F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696D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798" w:type="dxa"/>
            <w:vMerge w:val="continue"/>
            <w:noWrap w:val="0"/>
            <w:vAlign w:val="center"/>
          </w:tcPr>
          <w:p w14:paraId="748706A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DAC6DC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331B83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468A5D3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消防控制室</w:t>
            </w:r>
          </w:p>
        </w:tc>
        <w:tc>
          <w:tcPr>
            <w:tcW w:w="5099" w:type="dxa"/>
            <w:gridSpan w:val="3"/>
            <w:noWrap w:val="0"/>
            <w:vAlign w:val="center"/>
          </w:tcPr>
          <w:p w14:paraId="08204F57">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应安排专人24h值班</w:t>
            </w:r>
          </w:p>
        </w:tc>
        <w:tc>
          <w:tcPr>
            <w:tcW w:w="1663" w:type="dxa"/>
            <w:noWrap w:val="0"/>
            <w:vAlign w:val="center"/>
          </w:tcPr>
          <w:p w14:paraId="6C939FB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6107A73">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1195FC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797F5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98" w:type="dxa"/>
            <w:vMerge w:val="continue"/>
            <w:noWrap w:val="0"/>
            <w:vAlign w:val="center"/>
          </w:tcPr>
          <w:p w14:paraId="73A85FD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392FBF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E6D2EC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4C474E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427F28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每班人员应不少于2人</w:t>
            </w:r>
          </w:p>
        </w:tc>
        <w:tc>
          <w:tcPr>
            <w:tcW w:w="1663" w:type="dxa"/>
            <w:noWrap w:val="0"/>
            <w:vAlign w:val="center"/>
          </w:tcPr>
          <w:p w14:paraId="0786234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DF1533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154FE7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087D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98" w:type="dxa"/>
            <w:vMerge w:val="continue"/>
            <w:noWrap w:val="0"/>
            <w:vAlign w:val="center"/>
          </w:tcPr>
          <w:p w14:paraId="3C676F0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91D29A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DC9DC4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55A42E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64B423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值班人员进行接班、交班时，应填写《消防控制室值班记录表》</w:t>
            </w:r>
          </w:p>
        </w:tc>
        <w:tc>
          <w:tcPr>
            <w:tcW w:w="1663" w:type="dxa"/>
            <w:noWrap w:val="0"/>
            <w:vAlign w:val="center"/>
          </w:tcPr>
          <w:p w14:paraId="19E2152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DE14D1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043C30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2FAC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5" w:hRule="atLeast"/>
        </w:trPr>
        <w:tc>
          <w:tcPr>
            <w:tcW w:w="798" w:type="dxa"/>
            <w:vMerge w:val="continue"/>
            <w:noWrap w:val="0"/>
            <w:vAlign w:val="center"/>
          </w:tcPr>
          <w:p w14:paraId="53CEE9E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5F1FDF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10DAF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F7F85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54F201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值班期间每2h记录一次消防控制室内消防设备的运行情况</w:t>
            </w:r>
          </w:p>
        </w:tc>
        <w:tc>
          <w:tcPr>
            <w:tcW w:w="1663" w:type="dxa"/>
            <w:noWrap w:val="0"/>
            <w:vAlign w:val="center"/>
          </w:tcPr>
          <w:p w14:paraId="726853F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3F5B94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2A1D32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EBDE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trPr>
        <w:tc>
          <w:tcPr>
            <w:tcW w:w="798" w:type="dxa"/>
            <w:vMerge w:val="continue"/>
            <w:noWrap w:val="0"/>
            <w:vAlign w:val="center"/>
          </w:tcPr>
          <w:p w14:paraId="76C5FE0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F1292A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77BFE0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DD5FAF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C3B3784">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及时记录消防控制室内消防设备的火警或故障情况</w:t>
            </w:r>
          </w:p>
        </w:tc>
        <w:tc>
          <w:tcPr>
            <w:tcW w:w="1663" w:type="dxa"/>
            <w:noWrap w:val="0"/>
            <w:vAlign w:val="center"/>
          </w:tcPr>
          <w:p w14:paraId="40994F9F">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732D69D">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A40704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F008C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CB1E7F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E0F92F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706E397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用电</w:t>
            </w:r>
          </w:p>
          <w:p w14:paraId="7B81F93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安全</w:t>
            </w:r>
          </w:p>
        </w:tc>
        <w:tc>
          <w:tcPr>
            <w:tcW w:w="2748" w:type="dxa"/>
            <w:vMerge w:val="restart"/>
            <w:noWrap w:val="0"/>
            <w:vAlign w:val="center"/>
          </w:tcPr>
          <w:p w14:paraId="75E73C1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用电场所通用要求</w:t>
            </w:r>
          </w:p>
        </w:tc>
        <w:tc>
          <w:tcPr>
            <w:tcW w:w="5099" w:type="dxa"/>
            <w:gridSpan w:val="3"/>
            <w:noWrap w:val="0"/>
            <w:vAlign w:val="center"/>
          </w:tcPr>
          <w:p w14:paraId="2EC64109">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电线无私拉乱接、绝缘破损现象</w:t>
            </w:r>
          </w:p>
        </w:tc>
        <w:tc>
          <w:tcPr>
            <w:tcW w:w="1663" w:type="dxa"/>
            <w:noWrap w:val="0"/>
            <w:vAlign w:val="center"/>
          </w:tcPr>
          <w:p w14:paraId="0B6EE40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2998C53">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BBD79D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9708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F099AA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78304A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BB6A9D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992DE2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BC867C1">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严禁将导线直接插入插座内使用</w:t>
            </w:r>
          </w:p>
        </w:tc>
        <w:tc>
          <w:tcPr>
            <w:tcW w:w="1663" w:type="dxa"/>
            <w:noWrap w:val="0"/>
            <w:vAlign w:val="center"/>
          </w:tcPr>
          <w:p w14:paraId="2CD4CD63">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138769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EB29BF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2AC8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BCF62B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A6C4AD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925375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4B53AD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1C7C59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不得在电线上悬挂物品</w:t>
            </w:r>
          </w:p>
        </w:tc>
        <w:tc>
          <w:tcPr>
            <w:tcW w:w="1663" w:type="dxa"/>
            <w:noWrap w:val="0"/>
            <w:vAlign w:val="center"/>
          </w:tcPr>
          <w:p w14:paraId="0B8FFB2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50104A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ED83AA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18419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C05CD0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AE6C81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1F1753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2624E2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14309FA">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严禁使用破损的插头、插座及电线</w:t>
            </w:r>
          </w:p>
        </w:tc>
        <w:tc>
          <w:tcPr>
            <w:tcW w:w="1663" w:type="dxa"/>
            <w:noWrap w:val="0"/>
            <w:vAlign w:val="center"/>
          </w:tcPr>
          <w:p w14:paraId="4C1781B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D16343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F80BB4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880A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atLeast"/>
        </w:trPr>
        <w:tc>
          <w:tcPr>
            <w:tcW w:w="798" w:type="dxa"/>
            <w:vMerge w:val="continue"/>
            <w:noWrap w:val="0"/>
            <w:vAlign w:val="center"/>
          </w:tcPr>
          <w:p w14:paraId="0C3771D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EC0AB9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1C5FFE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A7D372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4A8E68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潮湿场所应选用密闭式防水照明灯具，且照明电源不得大于24</w:t>
            </w:r>
            <w:r>
              <w:rPr>
                <w:rFonts w:hint="eastAsia" w:ascii="仿宋_GB2312" w:hAnsi="仿宋_GB2312" w:cs="仿宋_GB2312"/>
                <w:b w:val="0"/>
                <w:bCs w:val="0"/>
                <w:kern w:val="0"/>
                <w:sz w:val="28"/>
                <w:szCs w:val="28"/>
                <w:highlight w:val="none"/>
                <w:lang w:eastAsia="zh-CN"/>
              </w:rPr>
              <w:t>V</w:t>
            </w:r>
          </w:p>
        </w:tc>
        <w:tc>
          <w:tcPr>
            <w:tcW w:w="1663" w:type="dxa"/>
            <w:noWrap w:val="0"/>
            <w:vAlign w:val="center"/>
          </w:tcPr>
          <w:p w14:paraId="217A0EA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6BBFD1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FEAB25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9A02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9223FF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05D01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7CA1A0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A01732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6BAD09F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各接地良好，附属设备完好</w:t>
            </w:r>
          </w:p>
        </w:tc>
        <w:tc>
          <w:tcPr>
            <w:tcW w:w="1663" w:type="dxa"/>
            <w:noWrap w:val="0"/>
            <w:vAlign w:val="center"/>
          </w:tcPr>
          <w:p w14:paraId="3DD737B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523A62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F6D061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4B20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E63E17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85B197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01DF7D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12472F7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FB2836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有限空间、高温、有导电灰尘、离地不足2.5m的固定式照明电源不得大于36V</w:t>
            </w:r>
          </w:p>
        </w:tc>
        <w:tc>
          <w:tcPr>
            <w:tcW w:w="1663" w:type="dxa"/>
            <w:noWrap w:val="0"/>
            <w:vAlign w:val="center"/>
          </w:tcPr>
          <w:p w14:paraId="0825122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C3B8B3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8E98E3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4D68D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56575A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EDD0D0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DF6930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restart"/>
            <w:noWrap w:val="0"/>
            <w:vAlign w:val="center"/>
          </w:tcPr>
          <w:p w14:paraId="253760A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配电箱</w:t>
            </w:r>
          </w:p>
        </w:tc>
        <w:tc>
          <w:tcPr>
            <w:tcW w:w="5099" w:type="dxa"/>
            <w:gridSpan w:val="3"/>
            <w:noWrap w:val="0"/>
            <w:vAlign w:val="top"/>
          </w:tcPr>
          <w:p w14:paraId="2431DCD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触电危险性大或作业环境较差的场所应安装封闭式配电箱（柜），且用不可燃材料制作</w:t>
            </w:r>
          </w:p>
        </w:tc>
        <w:tc>
          <w:tcPr>
            <w:tcW w:w="1663" w:type="dxa"/>
            <w:noWrap w:val="0"/>
            <w:vAlign w:val="center"/>
          </w:tcPr>
          <w:p w14:paraId="3CA7C03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□符合</w:t>
            </w:r>
          </w:p>
          <w:p w14:paraId="5970E28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78021D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8D51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52125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7F21CD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25517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E9F396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F01026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配电箱（柜）上应张贴安全警示</w:t>
            </w:r>
            <w:r>
              <w:rPr>
                <w:rFonts w:hint="eastAsia" w:ascii="仿宋_GB2312" w:hAnsi="仿宋_GB2312" w:cs="仿宋_GB2312"/>
                <w:b w:val="0"/>
                <w:bCs w:val="0"/>
                <w:kern w:val="0"/>
                <w:sz w:val="28"/>
                <w:szCs w:val="28"/>
                <w:highlight w:val="none"/>
                <w:lang w:eastAsia="zh-CN"/>
              </w:rPr>
              <w:t>标识</w:t>
            </w:r>
          </w:p>
        </w:tc>
        <w:tc>
          <w:tcPr>
            <w:tcW w:w="1663" w:type="dxa"/>
            <w:noWrap w:val="0"/>
            <w:vAlign w:val="center"/>
          </w:tcPr>
          <w:p w14:paraId="2AA6462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E83FCE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E078AE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E2E9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3829C15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921518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D43FA2E">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675AF1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A7F36B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配电箱（柜）内无积尘、积水或杂物</w:t>
            </w:r>
          </w:p>
        </w:tc>
        <w:tc>
          <w:tcPr>
            <w:tcW w:w="1663" w:type="dxa"/>
            <w:noWrap w:val="0"/>
            <w:vAlign w:val="center"/>
          </w:tcPr>
          <w:p w14:paraId="119E973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144399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C866A9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BA76A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F7112C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CF1A9C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4D10E9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74937C4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D9A210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配电箱内张贴电气控制线路图</w:t>
            </w:r>
          </w:p>
        </w:tc>
        <w:tc>
          <w:tcPr>
            <w:tcW w:w="1663" w:type="dxa"/>
            <w:noWrap w:val="0"/>
            <w:vAlign w:val="center"/>
          </w:tcPr>
          <w:p w14:paraId="303B9CE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28AEC3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C122EB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6E711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D44C90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4C3A3D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595201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616C19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293A3C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配电箱内开关上张贴分路标识</w:t>
            </w:r>
          </w:p>
        </w:tc>
        <w:tc>
          <w:tcPr>
            <w:tcW w:w="1663" w:type="dxa"/>
            <w:noWrap w:val="0"/>
            <w:vAlign w:val="center"/>
          </w:tcPr>
          <w:p w14:paraId="3DE3BE1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371B4F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C766F8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68B1BE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6" w:hRule="atLeast"/>
        </w:trPr>
        <w:tc>
          <w:tcPr>
            <w:tcW w:w="798" w:type="dxa"/>
            <w:vMerge w:val="continue"/>
            <w:noWrap w:val="0"/>
            <w:vAlign w:val="center"/>
          </w:tcPr>
          <w:p w14:paraId="738D161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79D024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FAA7D3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7090F5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52DABD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箱柜体插座连接正确，并配有漏电保护器</w:t>
            </w:r>
          </w:p>
        </w:tc>
        <w:tc>
          <w:tcPr>
            <w:tcW w:w="1663" w:type="dxa"/>
            <w:noWrap w:val="0"/>
            <w:vAlign w:val="center"/>
          </w:tcPr>
          <w:p w14:paraId="5E6685E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B6BA54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58164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10CC0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8" w:hRule="atLeast"/>
        </w:trPr>
        <w:tc>
          <w:tcPr>
            <w:tcW w:w="798" w:type="dxa"/>
            <w:vMerge w:val="continue"/>
            <w:noWrap w:val="0"/>
            <w:vAlign w:val="center"/>
          </w:tcPr>
          <w:p w14:paraId="5E716F85">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F3F9F1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DDC7B5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E5C94D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B0BAD4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配电箱前应留有足够的安全工作空间和通道，不得隐藏或遮挡配电箱的操作空间</w:t>
            </w:r>
          </w:p>
        </w:tc>
        <w:tc>
          <w:tcPr>
            <w:tcW w:w="1663" w:type="dxa"/>
            <w:noWrap w:val="0"/>
            <w:vAlign w:val="center"/>
          </w:tcPr>
          <w:p w14:paraId="38D54C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A80D7B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B00BD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BA1A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AB34E2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32B4713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82CF47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E50FF4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4E8E37D">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落地安装的配电箱，室内应高出地面50mm以上，室外应高出地面200mm以上，底座周围应采取封闭措施，并应能防止鼠、蛇类小动物进入箱内</w:t>
            </w:r>
          </w:p>
        </w:tc>
        <w:tc>
          <w:tcPr>
            <w:tcW w:w="1663" w:type="dxa"/>
            <w:noWrap w:val="0"/>
            <w:vAlign w:val="center"/>
          </w:tcPr>
          <w:p w14:paraId="5B34B5AC">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9646C18">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261364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7D379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798" w:type="dxa"/>
            <w:vMerge w:val="continue"/>
            <w:noWrap w:val="0"/>
            <w:vAlign w:val="center"/>
          </w:tcPr>
          <w:p w14:paraId="2A4E167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1FB453E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D7F93B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8975BD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3EFDD73">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落地安装的配电柜且有大面积带电体裸露时，配电柜前应铺设绝缘胶垫</w:t>
            </w:r>
          </w:p>
        </w:tc>
        <w:tc>
          <w:tcPr>
            <w:tcW w:w="1663" w:type="dxa"/>
            <w:noWrap w:val="0"/>
            <w:vAlign w:val="center"/>
          </w:tcPr>
          <w:p w14:paraId="6CBCF1A0">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BDB2A7D">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643BEC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6319B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798" w:type="dxa"/>
            <w:vMerge w:val="continue"/>
            <w:noWrap w:val="0"/>
            <w:vAlign w:val="center"/>
          </w:tcPr>
          <w:p w14:paraId="2049DB8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008A91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9F548F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F9E4C3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0B5FE4A9">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电线无私拉乱接、绝缘破损现象</w:t>
            </w:r>
          </w:p>
        </w:tc>
        <w:tc>
          <w:tcPr>
            <w:tcW w:w="1663" w:type="dxa"/>
            <w:noWrap w:val="0"/>
            <w:vAlign w:val="center"/>
          </w:tcPr>
          <w:p w14:paraId="4130F9F7">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1E03D9A">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79D6C71F">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01ADD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7" w:hRule="atLeast"/>
        </w:trPr>
        <w:tc>
          <w:tcPr>
            <w:tcW w:w="798" w:type="dxa"/>
            <w:vMerge w:val="continue"/>
            <w:noWrap w:val="0"/>
            <w:vAlign w:val="center"/>
          </w:tcPr>
          <w:p w14:paraId="0D66F32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EF5D37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DDF5AF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AC3A12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373BCB7B">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严禁将导线直接插入插座内使用</w:t>
            </w:r>
          </w:p>
        </w:tc>
        <w:tc>
          <w:tcPr>
            <w:tcW w:w="1663" w:type="dxa"/>
            <w:noWrap w:val="0"/>
            <w:vAlign w:val="center"/>
          </w:tcPr>
          <w:p w14:paraId="5E3AE723">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5EF6A3C">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91370E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936F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98" w:type="dxa"/>
            <w:vMerge w:val="continue"/>
            <w:noWrap w:val="0"/>
            <w:vAlign w:val="center"/>
          </w:tcPr>
          <w:p w14:paraId="7E20834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F5433E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7D883EC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8D840A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EF65DB7">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按要求配备绝缘工具，定期检查，有测试报告和记录</w:t>
            </w:r>
          </w:p>
        </w:tc>
        <w:tc>
          <w:tcPr>
            <w:tcW w:w="1663" w:type="dxa"/>
            <w:noWrap w:val="0"/>
            <w:vAlign w:val="center"/>
          </w:tcPr>
          <w:p w14:paraId="3F1BE73B">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431F286">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D602CD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23B756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98" w:type="dxa"/>
            <w:vMerge w:val="continue"/>
            <w:noWrap w:val="0"/>
            <w:vAlign w:val="center"/>
          </w:tcPr>
          <w:p w14:paraId="2A3AF06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AB711F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4B398558">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防汛</w:t>
            </w:r>
          </w:p>
          <w:p w14:paraId="23EDA6E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lang w:val="en-US" w:eastAsia="zh-CN"/>
              </w:rPr>
            </w:pPr>
            <w:r>
              <w:rPr>
                <w:rFonts w:hint="eastAsia" w:ascii="仿宋_GB2312" w:hAnsi="仿宋_GB2312" w:eastAsia="仿宋_GB2312" w:cs="仿宋_GB2312"/>
                <w:b w:val="0"/>
                <w:bCs w:val="0"/>
                <w:sz w:val="28"/>
                <w:szCs w:val="28"/>
                <w:highlight w:val="none"/>
                <w:lang w:val="en-US" w:eastAsia="zh-CN"/>
              </w:rPr>
              <w:t>安全</w:t>
            </w:r>
          </w:p>
        </w:tc>
        <w:tc>
          <w:tcPr>
            <w:tcW w:w="2748" w:type="dxa"/>
            <w:vMerge w:val="restart"/>
            <w:noWrap w:val="0"/>
            <w:vAlign w:val="center"/>
          </w:tcPr>
          <w:p w14:paraId="44B11E6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通用要求</w:t>
            </w:r>
          </w:p>
        </w:tc>
        <w:tc>
          <w:tcPr>
            <w:tcW w:w="5099" w:type="dxa"/>
            <w:gridSpan w:val="3"/>
            <w:noWrap w:val="0"/>
            <w:vAlign w:val="center"/>
          </w:tcPr>
          <w:p w14:paraId="0846026E">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建立防汛工作制度，编制专项防汛应急预案并定期演练</w:t>
            </w:r>
          </w:p>
        </w:tc>
        <w:tc>
          <w:tcPr>
            <w:tcW w:w="1663" w:type="dxa"/>
            <w:noWrap w:val="0"/>
            <w:vAlign w:val="center"/>
          </w:tcPr>
          <w:p w14:paraId="18850431">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DF9FD80">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03E7FA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B3182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98" w:type="dxa"/>
            <w:vMerge w:val="continue"/>
            <w:noWrap w:val="0"/>
            <w:vAlign w:val="center"/>
          </w:tcPr>
          <w:p w14:paraId="46C97C1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F6CBE3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B20A60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7D3CCE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p>
        </w:tc>
        <w:tc>
          <w:tcPr>
            <w:tcW w:w="5099" w:type="dxa"/>
            <w:gridSpan w:val="3"/>
            <w:noWrap w:val="0"/>
            <w:vAlign w:val="center"/>
          </w:tcPr>
          <w:p w14:paraId="1B13C2C0">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足额储备防汛物资，定期检查</w:t>
            </w:r>
          </w:p>
        </w:tc>
        <w:tc>
          <w:tcPr>
            <w:tcW w:w="1663" w:type="dxa"/>
            <w:noWrap w:val="0"/>
            <w:vAlign w:val="center"/>
          </w:tcPr>
          <w:p w14:paraId="49A18172">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D507613">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F96F14F">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14F0E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98" w:type="dxa"/>
            <w:vMerge w:val="continue"/>
            <w:noWrap w:val="0"/>
            <w:vAlign w:val="center"/>
          </w:tcPr>
          <w:p w14:paraId="4E4D856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E30C6D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417979A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EBBE0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p>
        </w:tc>
        <w:tc>
          <w:tcPr>
            <w:tcW w:w="5099" w:type="dxa"/>
            <w:gridSpan w:val="3"/>
            <w:noWrap w:val="0"/>
            <w:vAlign w:val="center"/>
          </w:tcPr>
          <w:p w14:paraId="73E3E273">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bidi="ar-SA"/>
              </w:rPr>
            </w:pPr>
            <w:r>
              <w:rPr>
                <w:rFonts w:hint="eastAsia" w:ascii="仿宋_GB2312" w:hAnsi="仿宋_GB2312" w:eastAsia="仿宋_GB2312" w:cs="仿宋_GB2312"/>
                <w:b w:val="0"/>
                <w:bCs w:val="0"/>
                <w:kern w:val="0"/>
                <w:sz w:val="28"/>
                <w:szCs w:val="28"/>
                <w:highlight w:val="none"/>
                <w:lang w:val="en-US" w:eastAsia="zh-CN"/>
              </w:rPr>
              <w:t>实行领导带班，关键岗位安排24小时值班人员，落实分级预警响应，严格执行停工撤人转移制度</w:t>
            </w:r>
          </w:p>
        </w:tc>
        <w:tc>
          <w:tcPr>
            <w:tcW w:w="1663" w:type="dxa"/>
            <w:noWrap w:val="0"/>
            <w:vAlign w:val="center"/>
          </w:tcPr>
          <w:p w14:paraId="459D79E3">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3E67068D">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kern w:val="2"/>
                <w:sz w:val="28"/>
                <w:szCs w:val="28"/>
                <w:highlight w:val="none"/>
                <w:lang w:val="en-US" w:eastAsia="zh-CN" w:bidi="ar-SA"/>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8E74358">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FEC0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6" w:hRule="atLeast"/>
        </w:trPr>
        <w:tc>
          <w:tcPr>
            <w:tcW w:w="798" w:type="dxa"/>
            <w:vMerge w:val="continue"/>
            <w:noWrap w:val="0"/>
            <w:vAlign w:val="center"/>
          </w:tcPr>
          <w:p w14:paraId="30FAF8A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31E4BF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192527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EED4BD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p>
        </w:tc>
        <w:tc>
          <w:tcPr>
            <w:tcW w:w="5099" w:type="dxa"/>
            <w:gridSpan w:val="3"/>
            <w:noWrap w:val="0"/>
            <w:vAlign w:val="center"/>
          </w:tcPr>
          <w:p w14:paraId="7EF3A087">
            <w:pPr>
              <w:keepNext w:val="0"/>
              <w:keepLines w:val="0"/>
              <w:pageBreakBefore w:val="0"/>
              <w:widowControl w:val="0"/>
              <w:tabs>
                <w:tab w:val="left" w:pos="1800"/>
              </w:tabs>
              <w:kinsoku/>
              <w:wordWrap/>
              <w:overflowPunct/>
              <w:topLinePunct w:val="0"/>
              <w:autoSpaceDE/>
              <w:autoSpaceDN/>
              <w:bidi w:val="0"/>
              <w:adjustRightInd w:val="0"/>
              <w:snapToGrid w:val="0"/>
              <w:spacing w:line="38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开展汛期安全自查工作，严格执行“排查</w:t>
            </w:r>
            <w:r>
              <w:rPr>
                <w:rFonts w:hint="eastAsia" w:ascii="仿宋_GB2312" w:hAnsi="仿宋_GB2312" w:cs="仿宋_GB2312"/>
                <w:b w:val="0"/>
                <w:bCs w:val="0"/>
                <w:kern w:val="0"/>
                <w:sz w:val="28"/>
                <w:szCs w:val="28"/>
                <w:highlight w:val="none"/>
                <w:lang w:val="en-US" w:eastAsia="zh-CN"/>
              </w:rPr>
              <w:t>－</w:t>
            </w:r>
            <w:r>
              <w:rPr>
                <w:rFonts w:hint="eastAsia" w:ascii="仿宋_GB2312" w:hAnsi="仿宋_GB2312" w:eastAsia="仿宋_GB2312" w:cs="仿宋_GB2312"/>
                <w:b w:val="0"/>
                <w:bCs w:val="0"/>
                <w:kern w:val="0"/>
                <w:sz w:val="28"/>
                <w:szCs w:val="28"/>
                <w:highlight w:val="none"/>
                <w:lang w:val="en-US" w:eastAsia="zh-CN"/>
              </w:rPr>
              <w:t>整改</w:t>
            </w:r>
            <w:r>
              <w:rPr>
                <w:rFonts w:hint="eastAsia" w:ascii="仿宋_GB2312" w:hAnsi="仿宋_GB2312" w:cs="仿宋_GB2312"/>
                <w:b w:val="0"/>
                <w:bCs w:val="0"/>
                <w:kern w:val="0"/>
                <w:sz w:val="28"/>
                <w:szCs w:val="28"/>
                <w:highlight w:val="none"/>
                <w:lang w:val="en-US" w:eastAsia="zh-CN"/>
              </w:rPr>
              <w:t>－</w:t>
            </w:r>
            <w:r>
              <w:rPr>
                <w:rFonts w:hint="eastAsia" w:ascii="仿宋_GB2312" w:hAnsi="仿宋_GB2312" w:eastAsia="仿宋_GB2312" w:cs="仿宋_GB2312"/>
                <w:b w:val="0"/>
                <w:bCs w:val="0"/>
                <w:kern w:val="0"/>
                <w:sz w:val="28"/>
                <w:szCs w:val="28"/>
                <w:highlight w:val="none"/>
                <w:lang w:val="en-US" w:eastAsia="zh-CN"/>
              </w:rPr>
              <w:t>复查</w:t>
            </w:r>
            <w:r>
              <w:rPr>
                <w:rFonts w:hint="eastAsia" w:ascii="仿宋_GB2312" w:hAnsi="仿宋_GB2312" w:cs="仿宋_GB2312"/>
                <w:b w:val="0"/>
                <w:bCs w:val="0"/>
                <w:kern w:val="0"/>
                <w:sz w:val="28"/>
                <w:szCs w:val="28"/>
                <w:highlight w:val="none"/>
                <w:lang w:val="en-US" w:eastAsia="zh-CN"/>
              </w:rPr>
              <w:t>－</w:t>
            </w:r>
            <w:r>
              <w:rPr>
                <w:rFonts w:hint="eastAsia" w:ascii="仿宋_GB2312" w:hAnsi="仿宋_GB2312" w:eastAsia="仿宋_GB2312" w:cs="仿宋_GB2312"/>
                <w:b w:val="0"/>
                <w:bCs w:val="0"/>
                <w:kern w:val="0"/>
                <w:sz w:val="28"/>
                <w:szCs w:val="28"/>
                <w:highlight w:val="none"/>
                <w:lang w:val="en-US" w:eastAsia="zh-CN"/>
              </w:rPr>
              <w:t>销除”全流程闭环管理</w:t>
            </w:r>
          </w:p>
        </w:tc>
        <w:tc>
          <w:tcPr>
            <w:tcW w:w="1663" w:type="dxa"/>
            <w:noWrap w:val="0"/>
            <w:vAlign w:val="center"/>
          </w:tcPr>
          <w:p w14:paraId="67FE5EA5">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4E1644A">
            <w:pPr>
              <w:keepNext w:val="0"/>
              <w:keepLines w:val="0"/>
              <w:pageBreakBefore w:val="0"/>
              <w:widowControl w:val="0"/>
              <w:kinsoku/>
              <w:wordWrap/>
              <w:overflowPunct/>
              <w:topLinePunct w:val="0"/>
              <w:autoSpaceDE/>
              <w:autoSpaceDN/>
              <w:bidi w:val="0"/>
              <w:adjustRightInd w:val="0"/>
              <w:snapToGrid w:val="0"/>
              <w:spacing w:line="38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F0DED5D">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3771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98" w:type="dxa"/>
            <w:vMerge w:val="continue"/>
            <w:noWrap w:val="0"/>
            <w:vAlign w:val="center"/>
          </w:tcPr>
          <w:p w14:paraId="1D0D3BE3">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D84AE5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57CCB7B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作业</w:t>
            </w:r>
          </w:p>
          <w:p w14:paraId="7D6D28F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环境</w:t>
            </w:r>
          </w:p>
        </w:tc>
        <w:tc>
          <w:tcPr>
            <w:tcW w:w="2748" w:type="dxa"/>
            <w:vMerge w:val="restart"/>
            <w:noWrap w:val="0"/>
            <w:vAlign w:val="center"/>
          </w:tcPr>
          <w:p w14:paraId="32FD242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通用要求</w:t>
            </w:r>
          </w:p>
        </w:tc>
        <w:tc>
          <w:tcPr>
            <w:tcW w:w="5099" w:type="dxa"/>
            <w:gridSpan w:val="3"/>
            <w:noWrap w:val="0"/>
            <w:vAlign w:val="center"/>
          </w:tcPr>
          <w:p w14:paraId="1A13BDDE">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工作场所清洁、有序，工器具定置摆放</w:t>
            </w:r>
          </w:p>
        </w:tc>
        <w:tc>
          <w:tcPr>
            <w:tcW w:w="1663" w:type="dxa"/>
            <w:noWrap w:val="0"/>
            <w:vAlign w:val="center"/>
          </w:tcPr>
          <w:p w14:paraId="69B71E09">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178879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DE4298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02DD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3FCE73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541553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E394FE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512D41C">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7E486BF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工作场所</w:t>
            </w:r>
            <w:r>
              <w:rPr>
                <w:rFonts w:hint="eastAsia" w:ascii="仿宋_GB2312" w:hAnsi="仿宋_GB2312" w:eastAsia="仿宋_GB2312" w:cs="仿宋_GB2312"/>
                <w:b w:val="0"/>
                <w:bCs w:val="0"/>
                <w:kern w:val="0"/>
                <w:sz w:val="28"/>
                <w:szCs w:val="28"/>
                <w:highlight w:val="none"/>
                <w:lang w:eastAsia="zh-CN"/>
              </w:rPr>
              <w:t>应</w:t>
            </w:r>
            <w:r>
              <w:rPr>
                <w:rFonts w:hint="eastAsia" w:ascii="仿宋_GB2312" w:hAnsi="仿宋_GB2312" w:eastAsia="仿宋_GB2312" w:cs="仿宋_GB2312"/>
                <w:b w:val="0"/>
                <w:bCs w:val="0"/>
                <w:kern w:val="0"/>
                <w:sz w:val="28"/>
                <w:szCs w:val="28"/>
                <w:highlight w:val="none"/>
              </w:rPr>
              <w:t>按规定正确佩戴和使用必要的劳动防护用品</w:t>
            </w:r>
          </w:p>
        </w:tc>
        <w:tc>
          <w:tcPr>
            <w:tcW w:w="1663" w:type="dxa"/>
            <w:noWrap w:val="0"/>
            <w:vAlign w:val="center"/>
          </w:tcPr>
          <w:p w14:paraId="43279B36">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554D2EA">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3B002781">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F5545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AEBD7C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10F9AB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58124D49">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C917F2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1DB4FB0F">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各种通道畅通无阻，应急灯具齐全可靠</w:t>
            </w:r>
          </w:p>
        </w:tc>
        <w:tc>
          <w:tcPr>
            <w:tcW w:w="1663" w:type="dxa"/>
            <w:noWrap w:val="0"/>
            <w:vAlign w:val="center"/>
          </w:tcPr>
          <w:p w14:paraId="7EAEB75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D38BC7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19534E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B7F20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D9BD6E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398732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F52AFB1">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136655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420E0120">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消防设施定期检查维护保养，完好无损</w:t>
            </w:r>
          </w:p>
        </w:tc>
        <w:tc>
          <w:tcPr>
            <w:tcW w:w="1663" w:type="dxa"/>
            <w:noWrap w:val="0"/>
            <w:vAlign w:val="center"/>
          </w:tcPr>
          <w:p w14:paraId="516FA16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7793637A">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230F8717">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341E99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62CE492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A5307C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0021C63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48CAF2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9537E5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各种安全设施应处于正常状态</w:t>
            </w:r>
          </w:p>
        </w:tc>
        <w:tc>
          <w:tcPr>
            <w:tcW w:w="1663" w:type="dxa"/>
            <w:noWrap w:val="0"/>
            <w:vAlign w:val="center"/>
          </w:tcPr>
          <w:p w14:paraId="40B7BBAA">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19AEB4B">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6BC5AE7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3A60F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1A4861C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77359EF8">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066F64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2886C4E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F4381AC">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建筑门厅、楼梯间、 共用走道等室内公共区域内无违规停放电动车辆</w:t>
            </w:r>
          </w:p>
        </w:tc>
        <w:tc>
          <w:tcPr>
            <w:tcW w:w="1663" w:type="dxa"/>
            <w:noWrap w:val="0"/>
            <w:vAlign w:val="center"/>
          </w:tcPr>
          <w:p w14:paraId="3BF3CE5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1E8E5595">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C726A0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4853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7ED94DC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711D13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22A7553F">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4932B5F3">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5DAF8BD">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rPr>
              <w:t>员工无 “三违”现象</w:t>
            </w:r>
          </w:p>
        </w:tc>
        <w:tc>
          <w:tcPr>
            <w:tcW w:w="1663" w:type="dxa"/>
            <w:noWrap w:val="0"/>
            <w:vAlign w:val="center"/>
          </w:tcPr>
          <w:p w14:paraId="3E57E934">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469B81C">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31B5A1E">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9CEA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204B21B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44E33CE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restart"/>
            <w:noWrap w:val="0"/>
            <w:vAlign w:val="center"/>
          </w:tcPr>
          <w:p w14:paraId="68E225D2">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其他</w:t>
            </w:r>
          </w:p>
        </w:tc>
        <w:tc>
          <w:tcPr>
            <w:tcW w:w="2748" w:type="dxa"/>
            <w:vMerge w:val="restart"/>
            <w:noWrap w:val="0"/>
            <w:vAlign w:val="center"/>
          </w:tcPr>
          <w:p w14:paraId="57CDD39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注重</w:t>
            </w:r>
            <w:r>
              <w:rPr>
                <w:rFonts w:hint="eastAsia" w:ascii="仿宋_GB2312" w:hAnsi="仿宋_GB2312" w:eastAsia="仿宋_GB2312" w:cs="仿宋_GB2312"/>
                <w:b w:val="0"/>
                <w:bCs w:val="0"/>
                <w:sz w:val="28"/>
                <w:szCs w:val="28"/>
                <w:highlight w:val="none"/>
                <w:lang w:val="en-US" w:eastAsia="zh-CN"/>
              </w:rPr>
              <w:t>交通</w:t>
            </w:r>
            <w:r>
              <w:rPr>
                <w:rFonts w:hint="eastAsia" w:ascii="仿宋_GB2312" w:hAnsi="仿宋_GB2312" w:eastAsia="仿宋_GB2312" w:cs="仿宋_GB2312"/>
                <w:b w:val="0"/>
                <w:bCs w:val="0"/>
                <w:sz w:val="28"/>
                <w:szCs w:val="28"/>
                <w:highlight w:val="none"/>
              </w:rPr>
              <w:t>安全，防止高空坠物。</w:t>
            </w:r>
          </w:p>
        </w:tc>
        <w:tc>
          <w:tcPr>
            <w:tcW w:w="5099" w:type="dxa"/>
            <w:gridSpan w:val="3"/>
            <w:noWrap w:val="0"/>
            <w:vAlign w:val="center"/>
          </w:tcPr>
          <w:p w14:paraId="403670FF">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园区内道路和周边道路标识清晰，道路平坦、通畅</w:t>
            </w:r>
          </w:p>
        </w:tc>
        <w:tc>
          <w:tcPr>
            <w:tcW w:w="1663" w:type="dxa"/>
            <w:noWrap w:val="0"/>
            <w:vAlign w:val="center"/>
          </w:tcPr>
          <w:p w14:paraId="791D446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63A6D54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5126CA3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0D4DC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01518E94">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55F01A3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6ED53CE0">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6E87AB0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41941C2">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kern w:val="0"/>
                <w:sz w:val="28"/>
                <w:szCs w:val="28"/>
                <w:highlight w:val="none"/>
                <w:lang w:val="en-US" w:eastAsia="zh-CN"/>
              </w:rPr>
              <w:t>班车定期检查</w:t>
            </w:r>
          </w:p>
        </w:tc>
        <w:tc>
          <w:tcPr>
            <w:tcW w:w="1663" w:type="dxa"/>
            <w:noWrap w:val="0"/>
            <w:vAlign w:val="center"/>
          </w:tcPr>
          <w:p w14:paraId="23038611">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297BD1E0">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FDA1AA9">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0E8DE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E367B2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092EAA4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F641FED">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5CAD4A07">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32043B6">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lang w:val="en-US" w:eastAsia="zh-CN"/>
              </w:rPr>
            </w:pPr>
            <w:r>
              <w:rPr>
                <w:rFonts w:hint="eastAsia" w:ascii="仿宋_GB2312" w:hAnsi="仿宋_GB2312" w:eastAsia="仿宋_GB2312" w:cs="仿宋_GB2312"/>
                <w:b w:val="0"/>
                <w:bCs w:val="0"/>
                <w:kern w:val="0"/>
                <w:sz w:val="28"/>
                <w:szCs w:val="28"/>
                <w:highlight w:val="none"/>
                <w:lang w:val="en-US" w:eastAsia="zh-CN"/>
              </w:rPr>
              <w:t>财务室安全设施齐全有效</w:t>
            </w:r>
          </w:p>
        </w:tc>
        <w:tc>
          <w:tcPr>
            <w:tcW w:w="1663" w:type="dxa"/>
            <w:noWrap w:val="0"/>
            <w:vAlign w:val="center"/>
          </w:tcPr>
          <w:p w14:paraId="3A1FCAC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0F4CF97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15C2E83D">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7402D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53A8A9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6296BE6B">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3E675B24">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3B4994A6">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5AA20081">
            <w:pPr>
              <w:keepNext w:val="0"/>
              <w:keepLines w:val="0"/>
              <w:pageBreakBefore w:val="0"/>
              <w:widowControl w:val="0"/>
              <w:tabs>
                <w:tab w:val="left" w:pos="1800"/>
              </w:tabs>
              <w:kinsoku/>
              <w:wordWrap/>
              <w:overflowPunct/>
              <w:topLinePunct w:val="0"/>
              <w:autoSpaceDE/>
              <w:autoSpaceDN/>
              <w:bidi w:val="0"/>
              <w:adjustRightInd w:val="0"/>
              <w:snapToGrid w:val="0"/>
              <w:spacing w:line="34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定期检查地下人防工程的有效性</w:t>
            </w:r>
          </w:p>
        </w:tc>
        <w:tc>
          <w:tcPr>
            <w:tcW w:w="1663" w:type="dxa"/>
            <w:noWrap w:val="0"/>
            <w:vAlign w:val="center"/>
          </w:tcPr>
          <w:p w14:paraId="475BA0C7">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4E79073E">
            <w:pPr>
              <w:keepNext w:val="0"/>
              <w:keepLines w:val="0"/>
              <w:pageBreakBefore w:val="0"/>
              <w:widowControl w:val="0"/>
              <w:kinsoku/>
              <w:wordWrap/>
              <w:overflowPunct/>
              <w:topLinePunct w:val="0"/>
              <w:autoSpaceDE/>
              <w:autoSpaceDN/>
              <w:bidi w:val="0"/>
              <w:adjustRightInd w:val="0"/>
              <w:snapToGrid w:val="0"/>
              <w:spacing w:line="34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4DF289CF">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r w14:paraId="58DC44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98" w:type="dxa"/>
            <w:vMerge w:val="continue"/>
            <w:noWrap w:val="0"/>
            <w:vAlign w:val="center"/>
          </w:tcPr>
          <w:p w14:paraId="48F6DA3C">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870" w:type="dxa"/>
            <w:vMerge w:val="continue"/>
            <w:noWrap w:val="0"/>
            <w:vAlign w:val="center"/>
          </w:tcPr>
          <w:p w14:paraId="2A35B5D0">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1284" w:type="dxa"/>
            <w:vMerge w:val="continue"/>
            <w:noWrap w:val="0"/>
            <w:vAlign w:val="center"/>
          </w:tcPr>
          <w:p w14:paraId="1A6314CB">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c>
          <w:tcPr>
            <w:tcW w:w="2748" w:type="dxa"/>
            <w:vMerge w:val="continue"/>
            <w:noWrap w:val="0"/>
            <w:vAlign w:val="center"/>
          </w:tcPr>
          <w:p w14:paraId="073F804A">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sz w:val="28"/>
                <w:szCs w:val="28"/>
                <w:highlight w:val="none"/>
              </w:rPr>
            </w:pPr>
          </w:p>
        </w:tc>
        <w:tc>
          <w:tcPr>
            <w:tcW w:w="5099" w:type="dxa"/>
            <w:gridSpan w:val="3"/>
            <w:noWrap w:val="0"/>
            <w:vAlign w:val="center"/>
          </w:tcPr>
          <w:p w14:paraId="2E4580A5">
            <w:pPr>
              <w:keepNext w:val="0"/>
              <w:keepLines w:val="0"/>
              <w:pageBreakBefore w:val="0"/>
              <w:widowControl w:val="0"/>
              <w:tabs>
                <w:tab w:val="left" w:pos="1800"/>
              </w:tabs>
              <w:kinsoku/>
              <w:wordWrap/>
              <w:overflowPunct/>
              <w:topLinePunct w:val="0"/>
              <w:autoSpaceDE/>
              <w:autoSpaceDN/>
              <w:bidi w:val="0"/>
              <w:adjustRightInd w:val="0"/>
              <w:snapToGrid w:val="0"/>
              <w:spacing w:line="360" w:lineRule="exact"/>
              <w:ind w:firstLine="0" w:firstLineChars="0"/>
              <w:jc w:val="both"/>
              <w:textAlignment w:val="auto"/>
              <w:rPr>
                <w:rFonts w:hint="eastAsia" w:ascii="仿宋_GB2312" w:hAnsi="仿宋_GB2312" w:eastAsia="仿宋_GB2312" w:cs="仿宋_GB2312"/>
                <w:b w:val="0"/>
                <w:bCs w:val="0"/>
                <w:kern w:val="0"/>
                <w:sz w:val="28"/>
                <w:szCs w:val="28"/>
                <w:highlight w:val="none"/>
              </w:rPr>
            </w:pPr>
            <w:r>
              <w:rPr>
                <w:rFonts w:hint="eastAsia" w:ascii="仿宋_GB2312" w:hAnsi="仿宋_GB2312" w:eastAsia="仿宋_GB2312" w:cs="仿宋_GB2312"/>
                <w:b w:val="0"/>
                <w:bCs w:val="0"/>
                <w:sz w:val="28"/>
                <w:szCs w:val="28"/>
                <w:highlight w:val="none"/>
              </w:rPr>
              <w:t>高层办公的企业，应加强内部管理，严防发生高空抛物</w:t>
            </w:r>
            <w:r>
              <w:rPr>
                <w:rFonts w:hint="eastAsia" w:ascii="仿宋_GB2312" w:hAnsi="仿宋_GB2312" w:eastAsia="仿宋_GB2312" w:cs="仿宋_GB2312"/>
                <w:b w:val="0"/>
                <w:bCs w:val="0"/>
                <w:sz w:val="28"/>
                <w:szCs w:val="28"/>
                <w:highlight w:val="none"/>
                <w:lang w:eastAsia="zh-CN"/>
              </w:rPr>
              <w:t>等</w:t>
            </w:r>
            <w:r>
              <w:rPr>
                <w:rFonts w:hint="eastAsia" w:ascii="仿宋_GB2312" w:hAnsi="仿宋_GB2312" w:eastAsia="仿宋_GB2312" w:cs="仿宋_GB2312"/>
                <w:b w:val="0"/>
                <w:bCs w:val="0"/>
                <w:sz w:val="28"/>
                <w:szCs w:val="28"/>
                <w:highlight w:val="none"/>
              </w:rPr>
              <w:t>安全隐患事件</w:t>
            </w:r>
          </w:p>
        </w:tc>
        <w:tc>
          <w:tcPr>
            <w:tcW w:w="1663" w:type="dxa"/>
            <w:noWrap w:val="0"/>
            <w:vAlign w:val="center"/>
          </w:tcPr>
          <w:p w14:paraId="6264F492">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 xml:space="preserve">□符合 </w:t>
            </w:r>
          </w:p>
          <w:p w14:paraId="55BDD0C6">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auto"/>
              <w:rPr>
                <w:rFonts w:hint="eastAsia" w:ascii="仿宋_GB2312" w:hAnsi="仿宋_GB2312" w:eastAsia="仿宋_GB2312" w:cs="仿宋_GB2312"/>
                <w:b w:val="0"/>
                <w:bCs w:val="0"/>
                <w:sz w:val="28"/>
                <w:szCs w:val="28"/>
                <w:highlight w:val="none"/>
              </w:rPr>
            </w:pPr>
            <w:r>
              <w:rPr>
                <w:rFonts w:hint="eastAsia" w:ascii="仿宋_GB2312" w:hAnsi="仿宋_GB2312" w:eastAsia="仿宋_GB2312" w:cs="仿宋_GB2312"/>
                <w:b w:val="0"/>
                <w:bCs w:val="0"/>
                <w:sz w:val="28"/>
                <w:szCs w:val="28"/>
                <w:highlight w:val="none"/>
              </w:rPr>
              <w:t>□不符合</w:t>
            </w:r>
          </w:p>
        </w:tc>
        <w:tc>
          <w:tcPr>
            <w:tcW w:w="794" w:type="dxa"/>
            <w:noWrap w:val="0"/>
            <w:vAlign w:val="top"/>
          </w:tcPr>
          <w:p w14:paraId="00E4C05A">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auto"/>
              <w:rPr>
                <w:rFonts w:hint="eastAsia" w:ascii="仿宋_GB2312" w:hAnsi="仿宋_GB2312" w:eastAsia="仿宋_GB2312" w:cs="仿宋_GB2312"/>
                <w:b w:val="0"/>
                <w:bCs w:val="0"/>
                <w:sz w:val="28"/>
                <w:szCs w:val="28"/>
                <w:highlight w:val="none"/>
              </w:rPr>
            </w:pPr>
          </w:p>
        </w:tc>
      </w:tr>
    </w:tbl>
    <w:p w14:paraId="162E69ED">
      <w:pPr>
        <w:pStyle w:val="3"/>
        <w:keepNext w:val="0"/>
        <w:keepLines w:val="0"/>
        <w:pageBreakBefore w:val="0"/>
        <w:widowControl w:val="0"/>
        <w:kinsoku/>
        <w:wordWrap/>
        <w:overflowPunct/>
        <w:topLinePunct w:val="0"/>
        <w:autoSpaceDE w:val="0"/>
        <w:autoSpaceDN w:val="0"/>
        <w:bidi w:val="0"/>
        <w:adjustRightInd w:val="0"/>
        <w:snapToGrid w:val="0"/>
        <w:spacing w:before="100" w:line="560" w:lineRule="exact"/>
        <w:ind w:right="22"/>
        <w:jc w:val="both"/>
        <w:textAlignment w:val="baseline"/>
        <w:rPr>
          <w:rFonts w:hint="eastAsia" w:ascii="仿宋_GB2312" w:hAnsi="仿宋_GB2312" w:eastAsia="仿宋_GB2312" w:cs="仿宋_GB2312"/>
          <w:b w:val="0"/>
          <w:bCs w:val="0"/>
          <w:spacing w:val="2"/>
          <w:sz w:val="32"/>
          <w:szCs w:val="32"/>
          <w:highlight w:val="none"/>
        </w:rPr>
        <w:sectPr>
          <w:pgSz w:w="16839" w:h="11907" w:orient="landscape"/>
          <w:pgMar w:top="1587" w:right="2098" w:bottom="1474" w:left="1984" w:header="850" w:footer="1417" w:gutter="0"/>
          <w:pgNumType w:fmt="decimal"/>
          <w:cols w:space="720" w:num="1"/>
        </w:sectPr>
      </w:pPr>
      <w:bookmarkStart w:id="0" w:name="_GoBack"/>
      <w:bookmarkEnd w:id="0"/>
    </w:p>
    <w:p w14:paraId="688131CD"/>
    <w:sectPr>
      <w:pgSz w:w="16838" w:h="11906" w:orient="landscape"/>
      <w:pgMar w:top="1800" w:right="1440" w:bottom="1800" w:left="144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FAC15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240" w:lineRule="atLeast"/>
      <w:jc w:val="both"/>
    </w:pPr>
    <w:rPr>
      <w:rFonts w:ascii="Times New Roman" w:hAnsi="Times New Roman" w:eastAsia="仿宋_GB2312" w:cs="Times New Roman"/>
      <w:spacing w:val="-6"/>
      <w:kern w:val="2"/>
      <w:sz w:val="32"/>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customStyle="1" w:styleId="2">
    <w:name w:val="无间隔1"/>
    <w:next w:val="1"/>
    <w:qFormat/>
    <w:uiPriority w:val="1"/>
    <w:pPr>
      <w:widowControl w:val="0"/>
      <w:jc w:val="both"/>
    </w:pPr>
    <w:rPr>
      <w:rFonts w:ascii="Times New Roman" w:hAnsi="Times New Roman" w:eastAsia="宋体" w:cs="Times New Roman"/>
      <w:kern w:val="2"/>
      <w:sz w:val="21"/>
      <w:szCs w:val="24"/>
      <w:lang w:val="en-US" w:eastAsia="zh-CN" w:bidi="ar-SA"/>
    </w:rPr>
  </w:style>
  <w:style w:type="paragraph" w:styleId="3">
    <w:name w:val="Body Text"/>
    <w:basedOn w:val="1"/>
    <w:semiHidden/>
    <w:qFormat/>
    <w:uiPriority w:val="0"/>
    <w:rPr>
      <w:rFonts w:ascii="仿宋" w:hAnsi="仿宋" w:eastAsia="仿宋" w:cs="仿宋"/>
      <w:sz w:val="31"/>
      <w:szCs w:val="31"/>
      <w:lang w:val="en-US" w:eastAsia="en-US" w:bidi="ar-SA"/>
    </w:rPr>
  </w:style>
  <w:style w:type="paragraph" w:styleId="4">
    <w:name w:val="foot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 w:type="paragraph" w:styleId="5">
    <w:name w:val="header"/>
    <w:basedOn w:val="1"/>
    <w:qFormat/>
    <w:uiPriority w:val="0"/>
    <w:pPr>
      <w:tabs>
        <w:tab w:val="center" w:pos="4153"/>
        <w:tab w:val="right" w:pos="8306"/>
      </w:tabs>
      <w:overflowPunct w:val="0"/>
      <w:autoSpaceDE w:val="0"/>
      <w:autoSpaceDN w:val="0"/>
      <w:adjustRightInd w:val="0"/>
      <w:spacing w:line="240" w:lineRule="atLeast"/>
      <w:jc w:val="both"/>
      <w:textAlignment w:val="baseline"/>
    </w:pPr>
    <w:rPr>
      <w:sz w:val="2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2026-09-30T01:58:17Z</dcterms:created>
  <dc:creator>quwei</dc:creator>
  <cp:lastModifiedBy>Vivian</cp:lastModifiedBy>
  <dcterms:modified xsi:type="dcterms:W3CDTF">2026-09-30T01:59:12Z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eyJoZGlkIjoiNTFjNTMxZDUxNTUzNTFjNDU2OGY1NjljN2VhZTcxNmQiLCJ1c2VySWQiOiIxMjM5NTc1MTM4In0=</vt:lpwstr>
  </property>
  <property fmtid="{D5CDD505-2E9C-101B-9397-08002B2CF9AE}" pid="4" name="ICV">
    <vt:lpwstr>87E3225BBEEA4111AC568EAE4C3F2A08_12</vt:lpwstr>
  </property>
</Properties>
</file>