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273EA">
      <w:pPr>
        <w:rPr>
          <w:rFonts w:hint="eastAsia" w:ascii="黑体" w:hAnsi="黑体" w:eastAsia="黑体"/>
          <w:szCs w:val="32"/>
        </w:rPr>
      </w:pPr>
      <w:bookmarkStart w:id="0" w:name="_Toc92379474"/>
      <w:r>
        <w:rPr>
          <w:rFonts w:hint="eastAsia" w:ascii="黑体" w:hAnsi="黑体" w:eastAsia="黑体"/>
          <w:szCs w:val="32"/>
        </w:rPr>
        <w:t>附件3</w:t>
      </w:r>
    </w:p>
    <w:p w14:paraId="21E5AA5B">
      <w:pPr>
        <w:spacing w:line="560" w:lineRule="exact"/>
        <w:rPr>
          <w:rFonts w:hint="eastAsia" w:ascii="方正小标宋简体" w:hAnsi="黑体" w:eastAsia="方正小标宋简体"/>
          <w:szCs w:val="32"/>
        </w:rPr>
      </w:pPr>
    </w:p>
    <w:p w14:paraId="02C53071">
      <w:pPr>
        <w:pStyle w:val="72"/>
        <w:rPr>
          <w:rFonts w:hint="eastAsia"/>
          <w:szCs w:val="44"/>
        </w:rPr>
      </w:pPr>
      <w:r>
        <w:rPr>
          <w:rFonts w:hint="eastAsia"/>
          <w:szCs w:val="44"/>
        </w:rPr>
        <w:t>战略新兴及未来产业并购贷款贴息申报说明</w:t>
      </w:r>
    </w:p>
    <w:p w14:paraId="61E0082F">
      <w:pPr>
        <w:pStyle w:val="19"/>
        <w:widowControl/>
        <w:spacing w:beforeAutospacing="0" w:afterAutospacing="0" w:line="560" w:lineRule="exact"/>
        <w:jc w:val="both"/>
        <w:textAlignment w:val="baseline"/>
        <w:rPr>
          <w:rStyle w:val="24"/>
          <w:rFonts w:hint="eastAsia" w:ascii="黑体" w:hAnsi="黑体" w:eastAsia="黑体" w:cs="微软雅黑"/>
          <w:b w:val="0"/>
          <w:sz w:val="32"/>
          <w:szCs w:val="32"/>
        </w:rPr>
      </w:pPr>
    </w:p>
    <w:p w14:paraId="6AA6E890">
      <w:pPr>
        <w:pStyle w:val="53"/>
        <w:spacing w:after="0"/>
        <w:ind w:firstLine="616"/>
        <w:rPr>
          <w:rFonts w:hint="eastAsia"/>
          <w:bCs w:val="0"/>
        </w:rPr>
      </w:pPr>
      <w:r>
        <w:rPr>
          <w:rStyle w:val="24"/>
          <w:rFonts w:hint="eastAsia"/>
          <w:b w:val="0"/>
          <w:bCs w:val="0"/>
          <w:kern w:val="2"/>
        </w:rPr>
        <w:t>一、支持条件</w:t>
      </w:r>
    </w:p>
    <w:p w14:paraId="2034C5F7">
      <w:pPr>
        <w:pStyle w:val="32"/>
        <w:numPr>
          <w:ilvl w:val="0"/>
          <w:numId w:val="1"/>
        </w:numPr>
        <w:spacing w:after="0"/>
        <w:ind w:left="0" w:firstLine="616"/>
        <w:rPr>
          <w:rFonts w:hint="eastAsia"/>
        </w:rPr>
      </w:pPr>
      <w:r>
        <w:t>申报单位应</w:t>
      </w:r>
      <w:r>
        <w:rPr>
          <w:rFonts w:hint="eastAsia"/>
          <w:lang w:eastAsia="zh-Hans"/>
        </w:rPr>
        <w:t>为</w:t>
      </w:r>
      <w:r>
        <w:rPr>
          <w:rFonts w:hint="eastAsia"/>
        </w:rPr>
        <w:t>在京</w:t>
      </w:r>
      <w:r>
        <w:rPr>
          <w:rFonts w:hint="eastAsia"/>
          <w:lang w:eastAsia="zh-Hans"/>
        </w:rPr>
        <w:t>企业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属于</w:t>
      </w:r>
      <w:r>
        <w:rPr>
          <w:rFonts w:hint="eastAsia"/>
        </w:rPr>
        <w:t>工业重点产业或软件信息服务业</w:t>
      </w:r>
      <w:r>
        <w:rPr>
          <w:lang w:eastAsia="zh-Hans"/>
        </w:rPr>
        <w:t>（国民经济行业大类代码为13-43,63-65）</w:t>
      </w:r>
      <w:r>
        <w:rPr>
          <w:rFonts w:hint="eastAsia"/>
        </w:rPr>
        <w:t>，生产经营内容应符合</w:t>
      </w:r>
      <w:r>
        <w:rPr>
          <w:rFonts w:hint="eastAsia" w:hAnsi="宋体" w:cs="Times New Roman"/>
        </w:rPr>
        <w:t>国家相关法律法规、政策要求</w:t>
      </w:r>
      <w:r>
        <w:rPr>
          <w:rFonts w:hint="eastAsia"/>
        </w:rPr>
        <w:t>。</w:t>
      </w:r>
    </w:p>
    <w:p w14:paraId="17D4A36D">
      <w:pPr>
        <w:pStyle w:val="32"/>
        <w:numPr>
          <w:ilvl w:val="0"/>
          <w:numId w:val="1"/>
        </w:numPr>
        <w:spacing w:after="0"/>
        <w:ind w:left="0" w:firstLine="616"/>
        <w:rPr>
          <w:rFonts w:hint="eastAsia"/>
        </w:rPr>
      </w:pPr>
      <w:r>
        <w:rPr>
          <w:rFonts w:hint="eastAsia"/>
        </w:rPr>
        <w:t>申报并购项目应</w:t>
      </w:r>
      <w:r>
        <w:rPr>
          <w:rFonts w:hint="eastAsia"/>
          <w:lang w:bidi="he-IL"/>
        </w:rPr>
        <w:t>符合</w:t>
      </w:r>
      <w:r>
        <w:rPr>
          <w:rFonts w:hint="eastAsia" w:hAnsi="宋体" w:cs="Times New Roman"/>
        </w:rPr>
        <w:t>国家相关法律法规、政策要求</w:t>
      </w:r>
      <w:r>
        <w:rPr>
          <w:rFonts w:hint="eastAsia"/>
          <w:lang w:bidi="he-IL"/>
        </w:rPr>
        <w:t>，属于</w:t>
      </w:r>
      <w:r>
        <w:rPr>
          <w:rFonts w:hint="eastAsia"/>
          <w:lang w:val="en-US" w:eastAsia="zh-CN" w:bidi="he-IL"/>
        </w:rPr>
        <w:t>北京市高精尖产业发展</w:t>
      </w:r>
      <w:r>
        <w:rPr>
          <w:rFonts w:hint="eastAsia"/>
          <w:lang w:bidi="he-IL"/>
        </w:rPr>
        <w:t>方向，且</w:t>
      </w:r>
      <w:r>
        <w:rPr>
          <w:rFonts w:hint="eastAsia"/>
        </w:rPr>
        <w:t>申报并购项目被并购标的的核心主营业务应当符合《纳入支持范围的并购项目产业领域》（附件3-1）。</w:t>
      </w:r>
    </w:p>
    <w:p w14:paraId="538E5D25">
      <w:pPr>
        <w:pStyle w:val="32"/>
        <w:numPr>
          <w:ilvl w:val="0"/>
          <w:numId w:val="1"/>
        </w:numPr>
        <w:spacing w:after="0"/>
        <w:ind w:left="0" w:firstLine="616"/>
        <w:rPr>
          <w:rFonts w:hint="eastAsia"/>
        </w:rPr>
      </w:pPr>
      <w:r>
        <w:rPr>
          <w:rFonts w:hint="eastAsia"/>
        </w:rPr>
        <w:t>申报并购项目</w:t>
      </w:r>
      <w:r>
        <w:rPr>
          <w:rFonts w:hint="eastAsia"/>
          <w:lang w:bidi="he-IL"/>
        </w:rPr>
        <w:t>对我市产业结构优化、产业</w:t>
      </w:r>
      <w:r>
        <w:rPr>
          <w:lang w:bidi="he-IL"/>
        </w:rPr>
        <w:t>补链强链</w:t>
      </w:r>
      <w:r>
        <w:rPr>
          <w:rFonts w:hint="eastAsia"/>
          <w:lang w:bidi="he-IL"/>
        </w:rPr>
        <w:t>有显著促进支撑作用</w:t>
      </w:r>
      <w:r>
        <w:rPr>
          <w:lang w:bidi="he-IL"/>
        </w:rPr>
        <w:t>。</w:t>
      </w:r>
    </w:p>
    <w:p w14:paraId="17983866">
      <w:pPr>
        <w:pStyle w:val="32"/>
        <w:numPr>
          <w:ilvl w:val="0"/>
          <w:numId w:val="1"/>
        </w:numPr>
        <w:spacing w:after="0"/>
        <w:ind w:left="0" w:firstLine="616"/>
        <w:rPr>
          <w:rFonts w:hint="eastAsia"/>
        </w:rPr>
      </w:pPr>
      <w:r>
        <w:t>并购方式为企业合并，或通过受让股权、收购资产方式取得被并购方</w:t>
      </w:r>
      <w:r>
        <w:rPr>
          <w:rFonts w:hint="eastAsia"/>
        </w:rPr>
        <w:t>实际控制权</w:t>
      </w:r>
      <w:r>
        <w:t>（</w:t>
      </w:r>
      <w:r>
        <w:rPr>
          <w:rFonts w:hint="eastAsia"/>
          <w:highlight w:val="none"/>
          <w:lang w:val="en-US" w:eastAsia="zh-CN"/>
        </w:rPr>
        <w:t>并购后所占</w:t>
      </w:r>
      <w:r>
        <w:rPr>
          <w:highlight w:val="none"/>
        </w:rPr>
        <w:t>股权比例≥50%</w:t>
      </w:r>
      <w:r>
        <w:t>）。</w:t>
      </w:r>
      <w:r>
        <w:rPr>
          <w:rFonts w:hint="eastAsia"/>
          <w:highlight w:val="none"/>
        </w:rPr>
        <w:t>申报单位与被并购方之间</w:t>
      </w:r>
      <w:r>
        <w:rPr>
          <w:highlight w:val="none"/>
        </w:rPr>
        <w:t>并购前</w:t>
      </w:r>
      <w:r>
        <w:rPr>
          <w:rFonts w:hint="eastAsia"/>
          <w:highlight w:val="none"/>
        </w:rPr>
        <w:t>不存在实际控制关系</w:t>
      </w:r>
      <w:r>
        <w:rPr>
          <w:rFonts w:hint="eastAsia"/>
          <w:highlight w:val="none"/>
          <w:lang w:eastAsia="zh-CN"/>
        </w:rPr>
        <w:t>、</w:t>
      </w:r>
      <w:r>
        <w:rPr>
          <w:rFonts w:hint="eastAsia"/>
          <w:highlight w:val="none"/>
          <w:lang w:val="en-US" w:eastAsia="zh-CN"/>
        </w:rPr>
        <w:t>同一集团关联单位等关联关系</w:t>
      </w:r>
      <w:r>
        <w:rPr>
          <w:rFonts w:hint="eastAsia"/>
          <w:highlight w:val="none"/>
        </w:rPr>
        <w:t>。</w:t>
      </w:r>
    </w:p>
    <w:p w14:paraId="45B8605E">
      <w:pPr>
        <w:pStyle w:val="32"/>
        <w:numPr>
          <w:ilvl w:val="0"/>
          <w:numId w:val="1"/>
        </w:numPr>
        <w:spacing w:after="0"/>
        <w:ind w:left="0" w:firstLine="616"/>
        <w:rPr>
          <w:rFonts w:hint="eastAsia"/>
        </w:rPr>
      </w:pPr>
      <w:r>
        <w:rPr>
          <w:rFonts w:hint="eastAsia"/>
        </w:rPr>
        <w:t>并购项目手续完整齐备，且</w:t>
      </w:r>
      <w:r>
        <w:t>未获得其他市级财政资金支持</w:t>
      </w:r>
      <w:r>
        <w:rPr>
          <w:rFonts w:hint="eastAsia"/>
        </w:rPr>
        <w:t>。</w:t>
      </w:r>
    </w:p>
    <w:p w14:paraId="4D55E2A5">
      <w:pPr>
        <w:pStyle w:val="32"/>
        <w:numPr>
          <w:ilvl w:val="0"/>
          <w:numId w:val="1"/>
        </w:numPr>
        <w:spacing w:after="0"/>
        <w:ind w:left="0" w:firstLine="616"/>
        <w:rPr>
          <w:rFonts w:hint="eastAsia"/>
        </w:rPr>
      </w:pPr>
      <w:r>
        <w:rPr>
          <w:rFonts w:hint="eastAsia"/>
          <w:lang w:bidi="he-IL"/>
        </w:rPr>
        <w:t>并购完成时间应在2025年1月1日</w:t>
      </w:r>
      <w:r>
        <w:t>（含）以后</w:t>
      </w:r>
      <w:r>
        <w:rPr>
          <w:rFonts w:hint="eastAsia"/>
          <w:lang w:bidi="he-IL"/>
        </w:rPr>
        <w:t>，</w:t>
      </w:r>
      <w:r>
        <w:t>以工商股权变更登记</w:t>
      </w:r>
      <w:r>
        <w:rPr>
          <w:rFonts w:hint="eastAsia"/>
        </w:rPr>
        <w:t>时间</w:t>
      </w:r>
      <w:r>
        <w:t>为判定标准</w:t>
      </w:r>
      <w:r>
        <w:rPr>
          <w:rFonts w:hint="eastAsia"/>
        </w:rPr>
        <w:t>；符合其他条件的并购贷款续贴息项目，可不受此时间限制。</w:t>
      </w:r>
    </w:p>
    <w:p w14:paraId="72E4AE61">
      <w:pPr>
        <w:pStyle w:val="32"/>
        <w:numPr>
          <w:ilvl w:val="0"/>
          <w:numId w:val="1"/>
        </w:numPr>
        <w:spacing w:after="0"/>
        <w:ind w:left="0" w:firstLine="616"/>
        <w:rPr>
          <w:rFonts w:hint="eastAsia"/>
        </w:rPr>
      </w:pPr>
      <w:r>
        <w:rPr>
          <w:rFonts w:hint="eastAsia"/>
        </w:rPr>
        <w:t>申报单位已与银行签订并购</w:t>
      </w:r>
      <w:r>
        <w:rPr>
          <w:rFonts w:hint="eastAsia"/>
          <w:lang w:eastAsia="zh-Hans"/>
        </w:rPr>
        <w:t>贷款</w:t>
      </w:r>
      <w:r>
        <w:rPr>
          <w:rFonts w:hint="eastAsia"/>
        </w:rPr>
        <w:t>合同，贷款资金到位且用于并购，申报贴息期内合同尚在有效期。申报贴息期长度应不多于1年，且不早于并购</w:t>
      </w:r>
      <w:r>
        <w:rPr>
          <w:rFonts w:hint="eastAsia"/>
          <w:lang w:val="en-US" w:eastAsia="zh-CN"/>
        </w:rPr>
        <w:t>完成时间</w:t>
      </w:r>
      <w:r>
        <w:rPr>
          <w:rFonts w:hint="eastAsia"/>
        </w:rPr>
        <w:t>，不晚于申报之日。</w:t>
      </w:r>
    </w:p>
    <w:p w14:paraId="4A02A24B">
      <w:pPr>
        <w:pStyle w:val="53"/>
        <w:spacing w:after="0"/>
        <w:ind w:firstLine="616"/>
        <w:rPr>
          <w:rStyle w:val="24"/>
          <w:rFonts w:hint="eastAsia"/>
          <w:b w:val="0"/>
          <w:bCs w:val="0"/>
        </w:rPr>
      </w:pPr>
      <w:r>
        <w:rPr>
          <w:rStyle w:val="24"/>
          <w:rFonts w:hint="eastAsia"/>
          <w:b w:val="0"/>
          <w:bCs w:val="0"/>
          <w:kern w:val="2"/>
        </w:rPr>
        <w:t>二、支持方式和标准</w:t>
      </w:r>
    </w:p>
    <w:p w14:paraId="6218F62E">
      <w:pPr>
        <w:pStyle w:val="32"/>
        <w:spacing w:after="0"/>
        <w:ind w:firstLine="616"/>
        <w:rPr>
          <w:rFonts w:hint="eastAsia"/>
        </w:rPr>
      </w:pPr>
      <w:r>
        <w:rPr>
          <w:rFonts w:hint="eastAsia"/>
        </w:rPr>
        <w:t>对申报单位支付的利息分年度给予事后贴息，贴息率不超过人民银行公布的同期中长期贷款市场报价利率（LPR），贴息期限不超过3年，单个项目年度贴息金额最高不超过5000万元。</w:t>
      </w:r>
    </w:p>
    <w:p w14:paraId="72A921DE">
      <w:pPr>
        <w:pStyle w:val="53"/>
        <w:spacing w:after="0"/>
        <w:ind w:firstLine="616"/>
        <w:rPr>
          <w:rStyle w:val="24"/>
          <w:rFonts w:hint="eastAsia"/>
          <w:b w:val="0"/>
          <w:bCs w:val="0"/>
        </w:rPr>
      </w:pPr>
      <w:r>
        <w:rPr>
          <w:rStyle w:val="24"/>
          <w:rFonts w:hint="eastAsia"/>
          <w:b w:val="0"/>
          <w:bCs w:val="0"/>
          <w:kern w:val="2"/>
        </w:rPr>
        <w:t>三、申报材料清单</w:t>
      </w:r>
    </w:p>
    <w:p w14:paraId="5D8535B6">
      <w:pPr>
        <w:pStyle w:val="32"/>
        <w:spacing w:after="0"/>
        <w:ind w:firstLine="616"/>
        <w:rPr>
          <w:rFonts w:hint="eastAsia"/>
        </w:rPr>
      </w:pPr>
      <w:r>
        <w:t>1.申报表</w:t>
      </w:r>
      <w:r>
        <w:rPr>
          <w:rFonts w:hint="eastAsia"/>
        </w:rPr>
        <w:t>（详见附件3-2）</w:t>
      </w:r>
    </w:p>
    <w:p w14:paraId="5A6A6EE4">
      <w:pPr>
        <w:pStyle w:val="32"/>
        <w:spacing w:after="0"/>
        <w:ind w:firstLine="616"/>
        <w:rPr>
          <w:rFonts w:hint="eastAsia"/>
        </w:rPr>
      </w:pPr>
      <w:r>
        <w:rPr>
          <w:rFonts w:hint="eastAsia"/>
        </w:rPr>
        <w:t>2.申报单位所属行业相关证明材料</w:t>
      </w:r>
    </w:p>
    <w:p w14:paraId="402D109F">
      <w:pPr>
        <w:pStyle w:val="32"/>
        <w:spacing w:after="0"/>
        <w:ind w:firstLine="616"/>
        <w:rPr>
          <w:rFonts w:hint="eastAsia"/>
        </w:rPr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股权交易协议、工商变更信息等并购证明</w:t>
      </w:r>
      <w:r>
        <w:t>文件</w:t>
      </w:r>
    </w:p>
    <w:p w14:paraId="1BE37DE7">
      <w:pPr>
        <w:pStyle w:val="32"/>
        <w:spacing w:after="0"/>
        <w:ind w:firstLine="616"/>
        <w:rPr>
          <w:rFonts w:hint="eastAsia"/>
        </w:rPr>
      </w:pPr>
      <w:r>
        <w:rPr>
          <w:rFonts w:hint="eastAsia"/>
        </w:rPr>
        <w:t>4</w:t>
      </w:r>
      <w:r>
        <w:t>.贷款相关资料</w:t>
      </w:r>
    </w:p>
    <w:p w14:paraId="0161CE1B">
      <w:pPr>
        <w:pStyle w:val="32"/>
        <w:spacing w:after="0"/>
        <w:ind w:firstLine="616"/>
        <w:rPr>
          <w:rFonts w:hint="eastAsia"/>
        </w:rPr>
      </w:pPr>
      <w:r>
        <w:rPr>
          <w:rFonts w:hint="eastAsia"/>
        </w:rPr>
        <w:t>（</w:t>
      </w:r>
      <w:r>
        <w:t>1）银行借款合同审查表</w:t>
      </w:r>
      <w:r>
        <w:rPr>
          <w:rFonts w:hint="eastAsia"/>
          <w:lang w:eastAsia="zh-Hans"/>
        </w:rPr>
        <w:t>（详见</w:t>
      </w:r>
      <w:r>
        <w:rPr>
          <w:rFonts w:hint="eastAsia"/>
        </w:rPr>
        <w:t>附件3-3</w:t>
      </w:r>
      <w:r>
        <w:rPr>
          <w:rFonts w:hint="eastAsia"/>
          <w:lang w:eastAsia="zh-Hans"/>
        </w:rPr>
        <w:t>）</w:t>
      </w:r>
    </w:p>
    <w:p w14:paraId="202C845A">
      <w:pPr>
        <w:pStyle w:val="32"/>
        <w:spacing w:after="0"/>
        <w:ind w:firstLine="616"/>
        <w:rPr>
          <w:rFonts w:hint="eastAsia"/>
        </w:rPr>
      </w:pPr>
      <w:r>
        <w:rPr>
          <w:rFonts w:hint="eastAsia"/>
        </w:rPr>
        <w:t>（</w:t>
      </w:r>
      <w:r>
        <w:t>2）银行借款合同复印件</w:t>
      </w:r>
    </w:p>
    <w:p w14:paraId="66DE406B">
      <w:pPr>
        <w:pStyle w:val="32"/>
        <w:spacing w:after="0"/>
        <w:ind w:left="1275" w:leftChars="200" w:hanging="659" w:hangingChars="214"/>
        <w:rPr>
          <w:rFonts w:hint="eastAsia"/>
        </w:rPr>
      </w:pPr>
      <w:r>
        <w:rPr>
          <w:rFonts w:hint="eastAsia"/>
        </w:rPr>
        <w:t>（</w:t>
      </w:r>
      <w:r>
        <w:t>3）银行拨付资金凭证复印件，付息凭证和还款凭证复印件</w:t>
      </w:r>
    </w:p>
    <w:p w14:paraId="775A3866">
      <w:pPr>
        <w:pStyle w:val="32"/>
        <w:spacing w:after="0"/>
        <w:ind w:firstLine="616"/>
        <w:rPr>
          <w:rFonts w:hint="eastAsia"/>
        </w:rPr>
      </w:pPr>
      <w:r>
        <w:rPr>
          <w:rFonts w:hint="eastAsia"/>
          <w:szCs w:val="32"/>
        </w:rPr>
        <w:t>5.</w:t>
      </w:r>
      <w:r>
        <w:t>承诺书</w:t>
      </w:r>
      <w:r>
        <w:rPr>
          <w:rFonts w:hint="eastAsia"/>
        </w:rPr>
        <w:t>（详见附件3-4）</w:t>
      </w:r>
    </w:p>
    <w:p w14:paraId="63477CF9">
      <w:pPr>
        <w:pStyle w:val="32"/>
        <w:spacing w:after="0"/>
        <w:ind w:firstLine="616"/>
      </w:pPr>
      <w:r>
        <w:rPr>
          <w:rFonts w:hint="eastAsia"/>
        </w:rPr>
        <w:t>6</w:t>
      </w:r>
      <w: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查询的专项信用报告（有无违法违规记录版，在信用中国（北京）网站查询）</w:t>
      </w:r>
      <w:bookmarkStart w:id="1" w:name="_GoBack"/>
      <w:bookmarkEnd w:id="1"/>
    </w:p>
    <w:p w14:paraId="5B329C63">
      <w:pPr>
        <w:pStyle w:val="32"/>
        <w:spacing w:after="0"/>
        <w:ind w:firstLine="616"/>
        <w:rPr>
          <w:rFonts w:hint="eastAsia" w:ascii="黑体"/>
        </w:rPr>
      </w:pPr>
      <w:r>
        <w:rPr>
          <w:rFonts w:hint="eastAsia"/>
          <w:lang w:val="en-US" w:eastAsia="zh-CN"/>
        </w:rPr>
        <w:t>7.</w:t>
      </w:r>
      <w:r>
        <w:t>其他需补充的资料</w:t>
      </w:r>
    </w:p>
    <w:p w14:paraId="3FA65B34">
      <w:pPr>
        <w:widowControl/>
        <w:spacing w:after="0" w:line="560" w:lineRule="exact"/>
        <w:jc w:val="left"/>
        <w:rPr>
          <w:rFonts w:hint="eastAsia" w:ascii="仿宋_GB2312" w:hAnsi="黑体"/>
          <w:szCs w:val="36"/>
        </w:rPr>
      </w:pPr>
    </w:p>
    <w:p w14:paraId="6C05C08A">
      <w:pPr>
        <w:pStyle w:val="13"/>
        <w:spacing w:after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附件：</w:t>
      </w:r>
    </w:p>
    <w:p w14:paraId="33B8687E">
      <w:pPr>
        <w:pStyle w:val="32"/>
        <w:spacing w:after="0"/>
        <w:ind w:firstLine="616"/>
        <w:rPr>
          <w:rFonts w:hint="eastAsia"/>
        </w:rPr>
      </w:pPr>
      <w:r>
        <w:rPr>
          <w:rFonts w:hint="eastAsia"/>
        </w:rPr>
        <w:t>3-1.纳入支持范围的并购项目产业领域</w:t>
      </w:r>
    </w:p>
    <w:p w14:paraId="448D7514">
      <w:pPr>
        <w:pStyle w:val="32"/>
        <w:spacing w:after="0"/>
        <w:ind w:firstLine="616"/>
        <w:rPr>
          <w:rFonts w:hint="eastAsia"/>
        </w:rPr>
      </w:pPr>
      <w:r>
        <w:rPr>
          <w:rFonts w:hint="eastAsia"/>
        </w:rPr>
        <w:t>3-2.申报表</w:t>
      </w:r>
    </w:p>
    <w:p w14:paraId="01D148CD">
      <w:pPr>
        <w:pStyle w:val="32"/>
        <w:spacing w:after="0"/>
        <w:ind w:firstLine="616"/>
        <w:rPr>
          <w:rFonts w:hint="eastAsia"/>
        </w:rPr>
      </w:pPr>
      <w:r>
        <w:rPr>
          <w:rFonts w:hint="eastAsia"/>
        </w:rPr>
        <w:t>3-3.</w:t>
      </w:r>
      <w:r>
        <w:t>银行借款合同审查表</w:t>
      </w:r>
    </w:p>
    <w:p w14:paraId="54E28D5B">
      <w:pPr>
        <w:pStyle w:val="32"/>
        <w:spacing w:after="0"/>
        <w:ind w:firstLine="616"/>
        <w:rPr>
          <w:rFonts w:hint="eastAsia"/>
        </w:rPr>
      </w:pPr>
      <w:r>
        <w:rPr>
          <w:rFonts w:hint="eastAsia"/>
        </w:rPr>
        <w:t>3-4.北京市高精尖产业发展项目资金承诺书</w:t>
      </w:r>
    </w:p>
    <w:p w14:paraId="1255AE56">
      <w:pPr>
        <w:pStyle w:val="14"/>
        <w:wordWrap/>
        <w:spacing w:after="0" w:line="560" w:lineRule="exact"/>
        <w:sectPr>
          <w:footerReference r:id="rId5" w:type="default"/>
          <w:pgSz w:w="11906" w:h="16838"/>
          <w:pgMar w:top="2098" w:right="1474" w:bottom="1985" w:left="1588" w:header="851" w:footer="992" w:gutter="0"/>
          <w:pgNumType w:fmt="numberInDash"/>
          <w:cols w:space="720" w:num="1"/>
          <w:docGrid w:type="lines" w:linePitch="435" w:charSpace="0"/>
        </w:sectPr>
      </w:pPr>
    </w:p>
    <w:p w14:paraId="7C0DCE4A">
      <w:pPr>
        <w:spacing w:after="0" w:line="560" w:lineRule="exact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附件3-1</w:t>
      </w:r>
    </w:p>
    <w:p w14:paraId="38AFDDCD">
      <w:pPr>
        <w:spacing w:after="0" w:line="560" w:lineRule="exact"/>
        <w:rPr>
          <w:rFonts w:hint="eastAsia" w:ascii="黑体" w:hAnsi="黑体" w:eastAsia="黑体"/>
        </w:rPr>
      </w:pPr>
    </w:p>
    <w:p w14:paraId="4DDCD11F">
      <w:pPr>
        <w:pStyle w:val="72"/>
        <w:spacing w:after="0"/>
        <w:rPr>
          <w:rFonts w:hint="eastAsia"/>
        </w:rPr>
      </w:pPr>
      <w:r>
        <w:rPr>
          <w:rFonts w:hint="eastAsia"/>
        </w:rPr>
        <w:t>纳入支持范围的并购项目产业领域</w:t>
      </w:r>
    </w:p>
    <w:p w14:paraId="2B4F6F53">
      <w:pPr>
        <w:pStyle w:val="32"/>
        <w:spacing w:after="0"/>
        <w:ind w:firstLine="616"/>
        <w:rPr>
          <w:rFonts w:hint="eastAsia"/>
        </w:rPr>
      </w:pPr>
    </w:p>
    <w:p w14:paraId="216E8D8F">
      <w:pPr>
        <w:pStyle w:val="32"/>
        <w:spacing w:after="0"/>
        <w:ind w:firstLine="616"/>
        <w:rPr>
          <w:rFonts w:hint="eastAsia"/>
        </w:rPr>
      </w:pPr>
      <w:r>
        <w:rPr>
          <w:rFonts w:hint="eastAsia"/>
        </w:rPr>
        <w:t>鼓励企业积极落实本市“十五五”高精尖产业发展规划，围绕战略性新兴产业、未来产业等开展并购，加快发展人工智能、医药健康、集成电路、智能网联汽车、具身智能机器人、新能源、合成生物、量子信息、区块链和先进计算、低空技术、商业航天、6G等本市重点产业领域，推动先进制造业提质升级，构建首都现代化产业体系。</w:t>
      </w:r>
    </w:p>
    <w:p w14:paraId="29396897">
      <w:pPr>
        <w:pStyle w:val="53"/>
        <w:spacing w:after="0"/>
        <w:ind w:firstLine="616"/>
        <w:rPr>
          <w:rFonts w:hint="eastAsia"/>
        </w:rPr>
      </w:pPr>
      <w:r>
        <w:rPr>
          <w:rFonts w:hint="eastAsia"/>
        </w:rPr>
        <w:t>一、战略性新兴产业</w:t>
      </w:r>
    </w:p>
    <w:p w14:paraId="1A6E20D4">
      <w:pPr>
        <w:pStyle w:val="32"/>
        <w:numPr>
          <w:ilvl w:val="0"/>
          <w:numId w:val="2"/>
        </w:numPr>
        <w:spacing w:after="0"/>
        <w:ind w:left="0" w:firstLine="616"/>
        <w:rPr>
          <w:rFonts w:hint="eastAsia"/>
        </w:rPr>
      </w:pPr>
      <w:r>
        <w:rPr>
          <w:rFonts w:hint="eastAsia"/>
        </w:rPr>
        <w:t>集成电路产业：芯片设计、晶圆制造、封装测试、半导体设备、电子材料等工业及软件配套环节、</w:t>
      </w:r>
    </w:p>
    <w:p w14:paraId="0DEE32CB">
      <w:pPr>
        <w:pStyle w:val="32"/>
        <w:numPr>
          <w:ilvl w:val="0"/>
          <w:numId w:val="2"/>
        </w:numPr>
        <w:spacing w:after="0"/>
        <w:ind w:left="0" w:firstLine="616"/>
        <w:rPr>
          <w:rFonts w:hint="eastAsia"/>
        </w:rPr>
      </w:pPr>
      <w:r>
        <w:rPr>
          <w:rFonts w:hint="eastAsia"/>
        </w:rPr>
        <w:t>医药健康产业：生物医药、</w:t>
      </w:r>
      <w:r>
        <w:t>高端医疗设备、新一代生物医用材料</w:t>
      </w:r>
      <w:r>
        <w:rPr>
          <w:rFonts w:hint="eastAsia"/>
        </w:rPr>
        <w:t>、</w:t>
      </w:r>
    </w:p>
    <w:p w14:paraId="061F5E0E">
      <w:pPr>
        <w:pStyle w:val="32"/>
        <w:numPr>
          <w:ilvl w:val="0"/>
          <w:numId w:val="2"/>
        </w:numPr>
        <w:spacing w:after="0"/>
        <w:ind w:left="0" w:firstLine="616"/>
        <w:rPr>
          <w:rFonts w:hint="eastAsia"/>
        </w:rPr>
      </w:pPr>
      <w:r>
        <w:rPr>
          <w:rFonts w:hint="eastAsia"/>
        </w:rPr>
        <w:t>智能网联汽车：整车制造、车载芯片、自动驾驶软硬件、新能源汽车零部件、车规级电子装备</w:t>
      </w:r>
    </w:p>
    <w:p w14:paraId="7C67FD6C">
      <w:pPr>
        <w:pStyle w:val="32"/>
        <w:numPr>
          <w:ilvl w:val="0"/>
          <w:numId w:val="2"/>
        </w:numPr>
        <w:spacing w:after="0"/>
        <w:ind w:left="0" w:firstLine="616"/>
        <w:rPr>
          <w:rFonts w:hint="eastAsia"/>
        </w:rPr>
      </w:pPr>
      <w:r>
        <w:rPr>
          <w:rFonts w:hint="eastAsia"/>
        </w:rPr>
        <w:t>新能源产业：动力电池、储能装备、光伏/风电核心设备、氢能装备</w:t>
      </w:r>
    </w:p>
    <w:p w14:paraId="3C721D3C">
      <w:pPr>
        <w:pStyle w:val="32"/>
        <w:numPr>
          <w:ilvl w:val="0"/>
          <w:numId w:val="2"/>
        </w:numPr>
        <w:spacing w:after="0"/>
        <w:ind w:left="0" w:firstLine="616"/>
        <w:rPr>
          <w:rFonts w:hint="eastAsia"/>
        </w:rPr>
      </w:pPr>
      <w:r>
        <w:rPr>
          <w:rFonts w:hint="eastAsia"/>
        </w:rPr>
        <w:t>先进计算与区块链：算力硬件、工业软件、分布式区块链底层技术、工业数字化系统开发</w:t>
      </w:r>
    </w:p>
    <w:p w14:paraId="00D84A29">
      <w:pPr>
        <w:pStyle w:val="53"/>
        <w:spacing w:after="0"/>
        <w:ind w:firstLine="616"/>
        <w:rPr>
          <w:rFonts w:hint="eastAsia"/>
        </w:rPr>
      </w:pPr>
      <w:r>
        <w:rPr>
          <w:rFonts w:hint="eastAsia"/>
        </w:rPr>
        <w:t>二、未来产业</w:t>
      </w:r>
    </w:p>
    <w:p w14:paraId="04A1C5B0">
      <w:pPr>
        <w:pStyle w:val="32"/>
        <w:numPr>
          <w:ilvl w:val="0"/>
          <w:numId w:val="3"/>
        </w:numPr>
        <w:spacing w:after="0"/>
        <w:ind w:left="0" w:firstLine="616"/>
        <w:rPr>
          <w:rFonts w:hint="eastAsia"/>
        </w:rPr>
      </w:pPr>
      <w:r>
        <w:rPr>
          <w:rFonts w:hint="eastAsia"/>
        </w:rPr>
        <w:t>人工智能：工业大模型、工业智能体、机器视觉、智能制造AI算法、AI芯片、</w:t>
      </w:r>
      <w:r>
        <w:t>个人智能终端</w:t>
      </w:r>
      <w:r>
        <w:rPr>
          <w:rFonts w:hint="eastAsia"/>
        </w:rPr>
        <w:t>、</w:t>
      </w:r>
      <w:r>
        <w:t>安全防护技术与产品</w:t>
      </w:r>
    </w:p>
    <w:p w14:paraId="4D29ACA8">
      <w:pPr>
        <w:pStyle w:val="32"/>
        <w:numPr>
          <w:ilvl w:val="0"/>
          <w:numId w:val="3"/>
        </w:numPr>
        <w:spacing w:after="0"/>
        <w:ind w:left="0" w:firstLine="616"/>
        <w:rPr>
          <w:rFonts w:hint="eastAsia"/>
        </w:rPr>
      </w:pPr>
      <w:r>
        <w:rPr>
          <w:rFonts w:hint="eastAsia"/>
        </w:rPr>
        <w:t>具身智能机器人：工业机器人、特种作业机器人、人形机器人整机及核心零部件生产</w:t>
      </w:r>
    </w:p>
    <w:p w14:paraId="52D18573">
      <w:pPr>
        <w:pStyle w:val="32"/>
        <w:numPr>
          <w:ilvl w:val="0"/>
          <w:numId w:val="3"/>
        </w:numPr>
        <w:spacing w:after="0"/>
        <w:ind w:left="0" w:firstLine="616"/>
        <w:rPr>
          <w:rFonts w:hint="eastAsia"/>
        </w:rPr>
      </w:pPr>
      <w:r>
        <w:rPr>
          <w:rFonts w:hint="eastAsia"/>
        </w:rPr>
        <w:t>合成生物：生物基新材料、生物制造、工业酶制剂、合成生物学产业化生产环节</w:t>
      </w:r>
    </w:p>
    <w:p w14:paraId="4AF97441">
      <w:pPr>
        <w:pStyle w:val="32"/>
        <w:numPr>
          <w:ilvl w:val="0"/>
          <w:numId w:val="3"/>
        </w:numPr>
        <w:spacing w:after="0"/>
        <w:ind w:left="0" w:firstLine="616"/>
        <w:rPr>
          <w:rFonts w:hint="eastAsia"/>
        </w:rPr>
      </w:pPr>
      <w:r>
        <w:rPr>
          <w:rFonts w:hint="eastAsia"/>
        </w:rPr>
        <w:t>量子信息：量子芯片、量子传感、量子通信硬件、量子计算配套软件研发制造</w:t>
      </w:r>
    </w:p>
    <w:p w14:paraId="5EEDB588">
      <w:pPr>
        <w:pStyle w:val="32"/>
        <w:numPr>
          <w:ilvl w:val="0"/>
          <w:numId w:val="3"/>
        </w:numPr>
        <w:spacing w:after="0"/>
        <w:ind w:left="0" w:firstLine="616"/>
        <w:rPr>
          <w:rFonts w:hint="eastAsia"/>
        </w:rPr>
      </w:pPr>
      <w:r>
        <w:rPr>
          <w:rFonts w:hint="eastAsia"/>
        </w:rPr>
        <w:t>低空技术：工业级无人机、低空飞行器、机载智能装备、低空配套硬件制造</w:t>
      </w:r>
    </w:p>
    <w:p w14:paraId="605A0D07">
      <w:pPr>
        <w:pStyle w:val="32"/>
        <w:numPr>
          <w:ilvl w:val="0"/>
          <w:numId w:val="3"/>
        </w:numPr>
        <w:spacing w:after="0"/>
        <w:ind w:left="0" w:firstLine="616"/>
        <w:rPr>
          <w:rFonts w:hint="eastAsia"/>
        </w:rPr>
      </w:pPr>
      <w:r>
        <w:rPr>
          <w:rFonts w:hint="eastAsia"/>
        </w:rPr>
        <w:t>商业航天：卫星整机、航天电子元器件、火箭配套设备、航天智能制造装备</w:t>
      </w:r>
      <w:r>
        <w:t>、航材支援和航空维修</w:t>
      </w:r>
    </w:p>
    <w:p w14:paraId="79B2B196">
      <w:pPr>
        <w:pStyle w:val="32"/>
        <w:numPr>
          <w:ilvl w:val="0"/>
          <w:numId w:val="3"/>
        </w:numPr>
        <w:spacing w:after="0"/>
        <w:ind w:left="0" w:firstLine="616"/>
        <w:rPr>
          <w:rFonts w:hint="eastAsia"/>
        </w:rPr>
      </w:pPr>
      <w:r>
        <w:rPr>
          <w:rFonts w:hint="eastAsia"/>
        </w:rPr>
        <w:t>6G通信：6G射频芯片、通信基站硬件、空天地一体化通信软件、新一代通信终端制造</w:t>
      </w:r>
    </w:p>
    <w:p w14:paraId="5753C4D9">
      <w:pPr>
        <w:rPr>
          <w:rFonts w:hint="eastAsia"/>
        </w:rPr>
      </w:pPr>
      <w:r>
        <w:rPr>
          <w:rFonts w:hint="eastAsia"/>
        </w:rPr>
        <w:br w:type="page"/>
      </w:r>
    </w:p>
    <w:tbl>
      <w:tblPr>
        <w:tblStyle w:val="22"/>
        <w:tblW w:w="9943" w:type="dxa"/>
        <w:tblInd w:w="-5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1711"/>
        <w:gridCol w:w="2410"/>
        <w:gridCol w:w="236"/>
        <w:gridCol w:w="2470"/>
        <w:gridCol w:w="49"/>
        <w:gridCol w:w="2510"/>
      </w:tblGrid>
      <w:tr w14:paraId="5A67E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943" w:type="dxa"/>
            <w:gridSpan w:val="7"/>
            <w:tcBorders>
              <w:top w:val="nil"/>
              <w:left w:val="nil"/>
              <w:right w:val="nil"/>
            </w:tcBorders>
          </w:tcPr>
          <w:p w14:paraId="43B38E53">
            <w:pPr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Cs w:val="32"/>
              </w:rPr>
              <w:t>附件3-2</w:t>
            </w:r>
          </w:p>
        </w:tc>
      </w:tr>
      <w:tr w14:paraId="71017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9943" w:type="dxa"/>
            <w:gridSpan w:val="7"/>
          </w:tcPr>
          <w:p w14:paraId="5F7BB443">
            <w:pPr>
              <w:spacing w:line="400" w:lineRule="exact"/>
              <w:jc w:val="center"/>
              <w:rPr>
                <w:rFonts w:hint="eastAsia" w:ascii="方正小标宋简体" w:hAnsi="宋体" w:eastAsia="方正小标宋简体" w:cs="黑体"/>
                <w:sz w:val="28"/>
                <w:szCs w:val="28"/>
              </w:rPr>
            </w:pPr>
            <w:r>
              <w:rPr>
                <w:rFonts w:hint="eastAsia" w:ascii="方正小标宋简体" w:hAnsi="宋体" w:eastAsia="方正小标宋简体" w:cs="黑体"/>
                <w:sz w:val="28"/>
                <w:szCs w:val="28"/>
              </w:rPr>
              <w:t>北京市高精尖产业发展项目资金</w:t>
            </w:r>
          </w:p>
          <w:p w14:paraId="27BF4D33">
            <w:pPr>
              <w:spacing w:line="400" w:lineRule="exact"/>
              <w:jc w:val="center"/>
              <w:rPr>
                <w:rFonts w:hint="eastAsia" w:ascii="方正小标宋简体" w:hAnsi="宋体" w:eastAsia="方正小标宋简体" w:cs="黑体"/>
                <w:sz w:val="24"/>
              </w:rPr>
            </w:pPr>
            <w:r>
              <w:rPr>
                <w:rFonts w:hint="eastAsia" w:ascii="方正小标宋简体" w:hAnsi="宋体" w:eastAsia="方正小标宋简体" w:cs="黑体"/>
                <w:sz w:val="28"/>
                <w:szCs w:val="28"/>
              </w:rPr>
              <w:t>战略新兴及未来产业并购贷款贴息申报表</w:t>
            </w:r>
          </w:p>
        </w:tc>
      </w:tr>
      <w:tr w14:paraId="10309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43" w:type="dxa"/>
            <w:gridSpan w:val="7"/>
          </w:tcPr>
          <w:p w14:paraId="600DE5AA">
            <w:pPr>
              <w:rPr>
                <w:rFonts w:hint="eastAsia" w:ascii="宋体" w:hAnsi="宋体" w:cs="黑体"/>
                <w:b/>
                <w:bCs/>
                <w:sz w:val="24"/>
              </w:rPr>
            </w:pPr>
            <w:r>
              <w:rPr>
                <w:rFonts w:hint="eastAsia" w:ascii="宋体" w:hAnsi="宋体" w:eastAsia="宋体" w:cs="黑体"/>
                <w:b/>
                <w:bCs/>
                <w:sz w:val="24"/>
              </w:rPr>
              <w:t>第一部分 企业基本情况</w:t>
            </w:r>
          </w:p>
        </w:tc>
      </w:tr>
      <w:tr w14:paraId="5C8C1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8" w:type="dxa"/>
            <w:gridSpan w:val="2"/>
            <w:vAlign w:val="center"/>
          </w:tcPr>
          <w:p w14:paraId="32611BFA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企业名称</w:t>
            </w:r>
          </w:p>
        </w:tc>
        <w:tc>
          <w:tcPr>
            <w:tcW w:w="2410" w:type="dxa"/>
            <w:vAlign w:val="center"/>
          </w:tcPr>
          <w:p w14:paraId="527B1252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  <w:tc>
          <w:tcPr>
            <w:tcW w:w="2755" w:type="dxa"/>
            <w:gridSpan w:val="3"/>
            <w:vAlign w:val="center"/>
          </w:tcPr>
          <w:p w14:paraId="567ABF16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登记注册类型</w:t>
            </w:r>
          </w:p>
        </w:tc>
        <w:tc>
          <w:tcPr>
            <w:tcW w:w="2510" w:type="dxa"/>
            <w:vAlign w:val="center"/>
          </w:tcPr>
          <w:p w14:paraId="3E018D07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□内资民营 □国有/集体 □外资/中外合资 □其他</w:t>
            </w:r>
          </w:p>
        </w:tc>
      </w:tr>
      <w:tr w14:paraId="38597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8" w:type="dxa"/>
            <w:gridSpan w:val="2"/>
            <w:vAlign w:val="center"/>
          </w:tcPr>
          <w:p w14:paraId="066066FE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注册地址</w:t>
            </w:r>
          </w:p>
        </w:tc>
        <w:tc>
          <w:tcPr>
            <w:tcW w:w="2410" w:type="dxa"/>
            <w:vAlign w:val="center"/>
          </w:tcPr>
          <w:p w14:paraId="3B5BDB1E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  <w:tc>
          <w:tcPr>
            <w:tcW w:w="2755" w:type="dxa"/>
            <w:gridSpan w:val="3"/>
            <w:vAlign w:val="center"/>
          </w:tcPr>
          <w:p w14:paraId="4DF1D441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注册资本</w:t>
            </w:r>
          </w:p>
        </w:tc>
        <w:tc>
          <w:tcPr>
            <w:tcW w:w="2510" w:type="dxa"/>
            <w:vAlign w:val="center"/>
          </w:tcPr>
          <w:p w14:paraId="5168B0F5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4CDFE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8" w:type="dxa"/>
            <w:gridSpan w:val="2"/>
            <w:vAlign w:val="center"/>
          </w:tcPr>
          <w:p w14:paraId="5C37F592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登记注册时间</w:t>
            </w:r>
          </w:p>
        </w:tc>
        <w:tc>
          <w:tcPr>
            <w:tcW w:w="2410" w:type="dxa"/>
            <w:vAlign w:val="center"/>
          </w:tcPr>
          <w:p w14:paraId="69D4CF0F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  <w:tc>
          <w:tcPr>
            <w:tcW w:w="2755" w:type="dxa"/>
            <w:gridSpan w:val="3"/>
            <w:vAlign w:val="center"/>
          </w:tcPr>
          <w:p w14:paraId="2418574E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法定代表人</w:t>
            </w:r>
          </w:p>
        </w:tc>
        <w:tc>
          <w:tcPr>
            <w:tcW w:w="2510" w:type="dxa"/>
            <w:vAlign w:val="center"/>
          </w:tcPr>
          <w:p w14:paraId="54DA118B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56E55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8" w:type="dxa"/>
            <w:gridSpan w:val="2"/>
            <w:vAlign w:val="center"/>
          </w:tcPr>
          <w:p w14:paraId="441096DA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统一社会信用代码</w:t>
            </w:r>
          </w:p>
        </w:tc>
        <w:tc>
          <w:tcPr>
            <w:tcW w:w="7675" w:type="dxa"/>
            <w:gridSpan w:val="5"/>
            <w:vAlign w:val="center"/>
          </w:tcPr>
          <w:p w14:paraId="4B78085B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6F70E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8" w:type="dxa"/>
            <w:gridSpan w:val="2"/>
            <w:vAlign w:val="center"/>
          </w:tcPr>
          <w:p w14:paraId="378AF22E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行业代码</w:t>
            </w:r>
          </w:p>
        </w:tc>
        <w:tc>
          <w:tcPr>
            <w:tcW w:w="2410" w:type="dxa"/>
            <w:vAlign w:val="center"/>
          </w:tcPr>
          <w:p w14:paraId="6879912C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  <w:tc>
          <w:tcPr>
            <w:tcW w:w="2755" w:type="dxa"/>
            <w:gridSpan w:val="3"/>
            <w:vAlign w:val="center"/>
          </w:tcPr>
          <w:p w14:paraId="1AC3233F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所属三城一区▼</w:t>
            </w:r>
          </w:p>
        </w:tc>
        <w:tc>
          <w:tcPr>
            <w:tcW w:w="2510" w:type="dxa"/>
            <w:vAlign w:val="center"/>
          </w:tcPr>
          <w:p w14:paraId="4B2BEEB2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46DDF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268" w:type="dxa"/>
            <w:gridSpan w:val="2"/>
            <w:vAlign w:val="center"/>
          </w:tcPr>
          <w:p w14:paraId="5A9129AF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项目申报联系人</w:t>
            </w:r>
          </w:p>
        </w:tc>
        <w:tc>
          <w:tcPr>
            <w:tcW w:w="2410" w:type="dxa"/>
            <w:vAlign w:val="center"/>
          </w:tcPr>
          <w:p w14:paraId="0DF900CF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  <w:tc>
          <w:tcPr>
            <w:tcW w:w="2755" w:type="dxa"/>
            <w:gridSpan w:val="3"/>
            <w:vAlign w:val="center"/>
          </w:tcPr>
          <w:p w14:paraId="24A0BDB2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联系人移动电话</w:t>
            </w:r>
          </w:p>
        </w:tc>
        <w:tc>
          <w:tcPr>
            <w:tcW w:w="2510" w:type="dxa"/>
            <w:vAlign w:val="center"/>
          </w:tcPr>
          <w:p w14:paraId="459A2DDB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1A660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68" w:type="dxa"/>
            <w:gridSpan w:val="2"/>
            <w:vAlign w:val="center"/>
          </w:tcPr>
          <w:p w14:paraId="4D27FC90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知识产权数量</w:t>
            </w:r>
          </w:p>
        </w:tc>
        <w:tc>
          <w:tcPr>
            <w:tcW w:w="2410" w:type="dxa"/>
            <w:vAlign w:val="center"/>
          </w:tcPr>
          <w:p w14:paraId="12110CA9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专利拥有量</w:t>
            </w:r>
          </w:p>
        </w:tc>
        <w:tc>
          <w:tcPr>
            <w:tcW w:w="236" w:type="dxa"/>
            <w:vAlign w:val="center"/>
          </w:tcPr>
          <w:p w14:paraId="331F7BE6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  <w:tc>
          <w:tcPr>
            <w:tcW w:w="2519" w:type="dxa"/>
            <w:gridSpan w:val="2"/>
            <w:vAlign w:val="center"/>
          </w:tcPr>
          <w:p w14:paraId="59E0EB7D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其中，发明专利拥有量（件）</w:t>
            </w:r>
          </w:p>
        </w:tc>
        <w:tc>
          <w:tcPr>
            <w:tcW w:w="2510" w:type="dxa"/>
            <w:vAlign w:val="center"/>
          </w:tcPr>
          <w:p w14:paraId="24B6F872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4FF9B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57" w:type="dxa"/>
            <w:vMerge w:val="restart"/>
          </w:tcPr>
          <w:p w14:paraId="56F4BD00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企业市场实力</w:t>
            </w:r>
          </w:p>
        </w:tc>
        <w:tc>
          <w:tcPr>
            <w:tcW w:w="1711" w:type="dxa"/>
            <w:vAlign w:val="center"/>
          </w:tcPr>
          <w:p w14:paraId="06038C35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并购前核心业务</w:t>
            </w:r>
          </w:p>
        </w:tc>
        <w:tc>
          <w:tcPr>
            <w:tcW w:w="7675" w:type="dxa"/>
            <w:gridSpan w:val="5"/>
            <w:vAlign w:val="center"/>
          </w:tcPr>
          <w:p w14:paraId="5126939C">
            <w:pPr>
              <w:rPr>
                <w:rFonts w:hint="eastAsia" w:ascii="宋体" w:hAnsi="宋体" w:cs="黑体"/>
                <w:sz w:val="24"/>
              </w:rPr>
            </w:pPr>
          </w:p>
        </w:tc>
      </w:tr>
      <w:tr w14:paraId="6EC1B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57" w:type="dxa"/>
            <w:vMerge w:val="continue"/>
          </w:tcPr>
          <w:p w14:paraId="39EEEB25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1DBFCA5A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行业所处水平</w:t>
            </w:r>
          </w:p>
          <w:p w14:paraId="61C2A55A">
            <w:pPr>
              <w:rPr>
                <w:rFonts w:hint="eastAsia" w:ascii="宋体" w:hAnsi="宋体" w:eastAsia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及市场占有率</w:t>
            </w:r>
          </w:p>
        </w:tc>
        <w:tc>
          <w:tcPr>
            <w:tcW w:w="7675" w:type="dxa"/>
            <w:gridSpan w:val="5"/>
            <w:vAlign w:val="center"/>
          </w:tcPr>
          <w:p w14:paraId="034E528E">
            <w:pPr>
              <w:rPr>
                <w:rFonts w:hint="eastAsia" w:ascii="宋体" w:hAnsi="宋体" w:eastAsia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可参考政府或行业协会等第三方发布的行业排名</w:t>
            </w:r>
          </w:p>
        </w:tc>
      </w:tr>
      <w:tr w14:paraId="10EA9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557" w:type="dxa"/>
            <w:vMerge w:val="continue"/>
          </w:tcPr>
          <w:p w14:paraId="17C0AA5F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5554CE29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产品（服务）情况</w:t>
            </w:r>
          </w:p>
        </w:tc>
        <w:tc>
          <w:tcPr>
            <w:tcW w:w="7675" w:type="dxa"/>
            <w:gridSpan w:val="5"/>
            <w:vAlign w:val="center"/>
          </w:tcPr>
          <w:p w14:paraId="3175D7F5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主要产品（服务）通过的重要认证、获得的行业核心准入资质等。</w:t>
            </w:r>
          </w:p>
        </w:tc>
      </w:tr>
      <w:tr w14:paraId="3F55D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2268" w:type="dxa"/>
            <w:gridSpan w:val="2"/>
            <w:vAlign w:val="center"/>
          </w:tcPr>
          <w:p w14:paraId="137F29C9">
            <w:pPr>
              <w:rPr>
                <w:rFonts w:hint="eastAsia" w:ascii="宋体" w:hAnsi="宋体" w:eastAsia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申报项目联系人</w:t>
            </w:r>
          </w:p>
        </w:tc>
        <w:tc>
          <w:tcPr>
            <w:tcW w:w="2410" w:type="dxa"/>
            <w:vAlign w:val="center"/>
          </w:tcPr>
          <w:p w14:paraId="1072BBFF">
            <w:pPr>
              <w:rPr>
                <w:rFonts w:hint="eastAsia" w:ascii="宋体" w:hAnsi="宋体" w:eastAsia="宋体" w:cs="黑体"/>
                <w:sz w:val="24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1CA2CD0D">
            <w:pPr>
              <w:rPr>
                <w:rFonts w:hint="eastAsia" w:ascii="宋体" w:hAnsi="宋体" w:eastAsia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联系电话</w:t>
            </w:r>
          </w:p>
        </w:tc>
        <w:tc>
          <w:tcPr>
            <w:tcW w:w="2559" w:type="dxa"/>
            <w:gridSpan w:val="2"/>
            <w:vAlign w:val="center"/>
          </w:tcPr>
          <w:p w14:paraId="2CA13408">
            <w:pPr>
              <w:rPr>
                <w:rFonts w:hint="eastAsia" w:ascii="宋体" w:hAnsi="宋体" w:eastAsia="宋体" w:cs="黑体"/>
                <w:sz w:val="24"/>
              </w:rPr>
            </w:pPr>
          </w:p>
        </w:tc>
      </w:tr>
      <w:tr w14:paraId="459AC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9943" w:type="dxa"/>
            <w:gridSpan w:val="7"/>
          </w:tcPr>
          <w:p w14:paraId="5AE2B085">
            <w:pPr>
              <w:rPr>
                <w:rFonts w:hint="eastAsia" w:ascii="宋体" w:hAnsi="宋体" w:cs="黑体"/>
                <w:b/>
                <w:bCs/>
                <w:sz w:val="24"/>
              </w:rPr>
            </w:pPr>
            <w:r>
              <w:rPr>
                <w:rFonts w:hint="eastAsia" w:ascii="宋体" w:hAnsi="宋体" w:eastAsia="宋体" w:cs="黑体"/>
                <w:b/>
                <w:bCs/>
                <w:sz w:val="24"/>
              </w:rPr>
              <w:t>第二部分 并购项目基本情况</w:t>
            </w:r>
          </w:p>
        </w:tc>
      </w:tr>
      <w:tr w14:paraId="6C4EF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2268" w:type="dxa"/>
            <w:gridSpan w:val="2"/>
            <w:vAlign w:val="center"/>
          </w:tcPr>
          <w:p w14:paraId="5DF62CEA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被并购企业名称</w:t>
            </w:r>
          </w:p>
        </w:tc>
        <w:tc>
          <w:tcPr>
            <w:tcW w:w="2410" w:type="dxa"/>
            <w:vAlign w:val="center"/>
          </w:tcPr>
          <w:p w14:paraId="4825F336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  <w:tc>
          <w:tcPr>
            <w:tcW w:w="2706" w:type="dxa"/>
            <w:gridSpan w:val="2"/>
            <w:vAlign w:val="center"/>
          </w:tcPr>
          <w:p w14:paraId="72F02F2A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被并购企业类型</w:t>
            </w:r>
          </w:p>
        </w:tc>
        <w:tc>
          <w:tcPr>
            <w:tcW w:w="2559" w:type="dxa"/>
            <w:gridSpan w:val="2"/>
            <w:vAlign w:val="center"/>
          </w:tcPr>
          <w:p w14:paraId="034E4237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□内资民营 □国有/集体 □外资/中外合资 □其他</w:t>
            </w:r>
          </w:p>
        </w:tc>
      </w:tr>
      <w:tr w14:paraId="3C41B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2268" w:type="dxa"/>
            <w:gridSpan w:val="2"/>
            <w:vAlign w:val="center"/>
          </w:tcPr>
          <w:p w14:paraId="2C77A47D">
            <w:pPr>
              <w:rPr>
                <w:rFonts w:hint="eastAsia" w:ascii="宋体" w:hAnsi="宋体" w:eastAsia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统一社会信用代码</w:t>
            </w:r>
          </w:p>
        </w:tc>
        <w:tc>
          <w:tcPr>
            <w:tcW w:w="7675" w:type="dxa"/>
            <w:gridSpan w:val="5"/>
          </w:tcPr>
          <w:p w14:paraId="04EE1253">
            <w:pPr>
              <w:rPr>
                <w:rFonts w:hint="eastAsia" w:ascii="宋体" w:hAnsi="宋体" w:eastAsia="宋体" w:cs="黑体"/>
                <w:sz w:val="24"/>
              </w:rPr>
            </w:pPr>
          </w:p>
        </w:tc>
      </w:tr>
      <w:tr w14:paraId="551B4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2268" w:type="dxa"/>
            <w:gridSpan w:val="2"/>
            <w:vAlign w:val="center"/>
          </w:tcPr>
          <w:p w14:paraId="3FDC9D95">
            <w:pPr>
              <w:rPr>
                <w:rFonts w:hint="eastAsia" w:ascii="宋体" w:hAnsi="宋体" w:eastAsia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行业代码</w:t>
            </w:r>
          </w:p>
        </w:tc>
        <w:tc>
          <w:tcPr>
            <w:tcW w:w="7675" w:type="dxa"/>
            <w:gridSpan w:val="5"/>
          </w:tcPr>
          <w:p w14:paraId="0D962BCF">
            <w:pPr>
              <w:rPr>
                <w:rFonts w:hint="eastAsia" w:ascii="宋体" w:hAnsi="宋体" w:eastAsia="宋体" w:cs="黑体"/>
                <w:sz w:val="24"/>
              </w:rPr>
            </w:pPr>
          </w:p>
        </w:tc>
      </w:tr>
      <w:tr w14:paraId="67779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2268" w:type="dxa"/>
            <w:gridSpan w:val="2"/>
            <w:vAlign w:val="center"/>
          </w:tcPr>
          <w:p w14:paraId="13672BE3">
            <w:pPr>
              <w:rPr>
                <w:rFonts w:hint="eastAsia" w:ascii="宋体" w:hAnsi="宋体" w:eastAsia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并购协议签订时间</w:t>
            </w:r>
          </w:p>
        </w:tc>
        <w:tc>
          <w:tcPr>
            <w:tcW w:w="7675" w:type="dxa"/>
            <w:gridSpan w:val="5"/>
          </w:tcPr>
          <w:p w14:paraId="780B603B">
            <w:pPr>
              <w:rPr>
                <w:rFonts w:hint="eastAsia" w:ascii="宋体" w:hAnsi="宋体" w:eastAsia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年　月　日</w:t>
            </w:r>
          </w:p>
        </w:tc>
      </w:tr>
      <w:tr w14:paraId="32A66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2268" w:type="dxa"/>
            <w:gridSpan w:val="2"/>
            <w:vAlign w:val="center"/>
          </w:tcPr>
          <w:p w14:paraId="72D607B0">
            <w:pPr>
              <w:rPr>
                <w:rFonts w:hint="eastAsia" w:ascii="宋体" w:hAnsi="宋体" w:eastAsia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工商变更登记日期</w:t>
            </w:r>
          </w:p>
        </w:tc>
        <w:tc>
          <w:tcPr>
            <w:tcW w:w="7675" w:type="dxa"/>
            <w:gridSpan w:val="5"/>
          </w:tcPr>
          <w:p w14:paraId="17F1CF32">
            <w:pPr>
              <w:rPr>
                <w:rFonts w:hint="eastAsia" w:ascii="宋体" w:hAnsi="宋体" w:eastAsia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年　月　日</w:t>
            </w:r>
          </w:p>
        </w:tc>
      </w:tr>
      <w:tr w14:paraId="372F9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2268" w:type="dxa"/>
            <w:gridSpan w:val="2"/>
            <w:vAlign w:val="center"/>
          </w:tcPr>
          <w:p w14:paraId="34A936AA">
            <w:pPr>
              <w:rPr>
                <w:rFonts w:hint="eastAsia" w:ascii="宋体" w:hAnsi="宋体" w:eastAsia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被并购</w:t>
            </w:r>
            <w:r>
              <w:rPr>
                <w:rFonts w:ascii="宋体" w:hAnsi="宋体" w:eastAsia="宋体" w:cs="黑体"/>
                <w:sz w:val="24"/>
              </w:rPr>
              <w:t>企业核心主营业务</w:t>
            </w:r>
          </w:p>
        </w:tc>
        <w:tc>
          <w:tcPr>
            <w:tcW w:w="7675" w:type="dxa"/>
            <w:gridSpan w:val="5"/>
          </w:tcPr>
          <w:p w14:paraId="5AA2EB74">
            <w:pPr>
              <w:rPr>
                <w:rFonts w:hint="eastAsia" w:ascii="宋体" w:hAnsi="宋体" w:eastAsia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66AB1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268" w:type="dxa"/>
            <w:gridSpan w:val="2"/>
            <w:vAlign w:val="center"/>
          </w:tcPr>
          <w:p w14:paraId="37BB47F8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并购情况简介</w:t>
            </w:r>
          </w:p>
        </w:tc>
        <w:tc>
          <w:tcPr>
            <w:tcW w:w="7675" w:type="dxa"/>
            <w:gridSpan w:val="5"/>
          </w:tcPr>
          <w:p w14:paraId="26C4CAF7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21CD3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557" w:type="dxa"/>
            <w:vMerge w:val="restart"/>
            <w:vAlign w:val="center"/>
          </w:tcPr>
          <w:p w14:paraId="4DDE8D52">
            <w:pPr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投融资</w:t>
            </w:r>
          </w:p>
        </w:tc>
        <w:tc>
          <w:tcPr>
            <w:tcW w:w="1711" w:type="dxa"/>
            <w:vAlign w:val="center"/>
          </w:tcPr>
          <w:p w14:paraId="6DE06385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并购总出资（万元）</w:t>
            </w:r>
          </w:p>
        </w:tc>
        <w:tc>
          <w:tcPr>
            <w:tcW w:w="7675" w:type="dxa"/>
            <w:gridSpan w:val="5"/>
          </w:tcPr>
          <w:p w14:paraId="5456D243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3DDC2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557" w:type="dxa"/>
            <w:vMerge w:val="continue"/>
          </w:tcPr>
          <w:p w14:paraId="58126524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54BEEEDE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资金筹措</w:t>
            </w:r>
          </w:p>
        </w:tc>
        <w:tc>
          <w:tcPr>
            <w:tcW w:w="2410" w:type="dxa"/>
            <w:vAlign w:val="center"/>
          </w:tcPr>
          <w:p w14:paraId="3BDE9DDB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企业自有资金（万元）</w:t>
            </w:r>
          </w:p>
        </w:tc>
        <w:tc>
          <w:tcPr>
            <w:tcW w:w="5265" w:type="dxa"/>
            <w:gridSpan w:val="4"/>
            <w:vAlign w:val="center"/>
          </w:tcPr>
          <w:p w14:paraId="665AA0EA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5D2C5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557" w:type="dxa"/>
            <w:vMerge w:val="continue"/>
          </w:tcPr>
          <w:p w14:paraId="40D1F363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711" w:type="dxa"/>
            <w:vMerge w:val="continue"/>
          </w:tcPr>
          <w:p w14:paraId="5172FCDF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435BE408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银行借款（万元）</w:t>
            </w:r>
          </w:p>
        </w:tc>
        <w:tc>
          <w:tcPr>
            <w:tcW w:w="5265" w:type="dxa"/>
            <w:gridSpan w:val="4"/>
            <w:vAlign w:val="center"/>
          </w:tcPr>
          <w:p w14:paraId="3747EBC3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1C988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557" w:type="dxa"/>
            <w:vMerge w:val="continue"/>
          </w:tcPr>
          <w:p w14:paraId="0A20D3C5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711" w:type="dxa"/>
            <w:vMerge w:val="continue"/>
          </w:tcPr>
          <w:p w14:paraId="2868E524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5B2B4EDF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其他（万元）</w:t>
            </w:r>
          </w:p>
        </w:tc>
        <w:tc>
          <w:tcPr>
            <w:tcW w:w="5265" w:type="dxa"/>
            <w:gridSpan w:val="4"/>
            <w:vAlign w:val="center"/>
          </w:tcPr>
          <w:p w14:paraId="277DB514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0688F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557" w:type="dxa"/>
            <w:vMerge w:val="continue"/>
          </w:tcPr>
          <w:p w14:paraId="21B0D9C6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711" w:type="dxa"/>
            <w:vMerge w:val="continue"/>
          </w:tcPr>
          <w:p w14:paraId="189F38D4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2F53E3D3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合计（万元）</w:t>
            </w:r>
          </w:p>
        </w:tc>
        <w:tc>
          <w:tcPr>
            <w:tcW w:w="5265" w:type="dxa"/>
            <w:gridSpan w:val="4"/>
            <w:vAlign w:val="center"/>
          </w:tcPr>
          <w:p w14:paraId="4057E214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2BF36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7" w:type="dxa"/>
            <w:vMerge w:val="restart"/>
            <w:vAlign w:val="center"/>
          </w:tcPr>
          <w:p w14:paraId="50759260">
            <w:pPr>
              <w:jc w:val="center"/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项目效益</w:t>
            </w:r>
          </w:p>
        </w:tc>
        <w:tc>
          <w:tcPr>
            <w:tcW w:w="1711" w:type="dxa"/>
            <w:vMerge w:val="restart"/>
            <w:vAlign w:val="center"/>
          </w:tcPr>
          <w:p w14:paraId="497D44C4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对企业促进作用</w:t>
            </w:r>
          </w:p>
        </w:tc>
        <w:tc>
          <w:tcPr>
            <w:tcW w:w="2410" w:type="dxa"/>
          </w:tcPr>
          <w:p w14:paraId="65C3EF83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行业地位提升</w:t>
            </w:r>
          </w:p>
        </w:tc>
        <w:tc>
          <w:tcPr>
            <w:tcW w:w="5265" w:type="dxa"/>
            <w:gridSpan w:val="4"/>
          </w:tcPr>
          <w:p w14:paraId="28C86C67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1EAE4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7" w:type="dxa"/>
            <w:vMerge w:val="continue"/>
          </w:tcPr>
          <w:p w14:paraId="3518CB82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711" w:type="dxa"/>
            <w:vMerge w:val="continue"/>
            <w:vAlign w:val="center"/>
          </w:tcPr>
          <w:p w14:paraId="134404DC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2410" w:type="dxa"/>
          </w:tcPr>
          <w:p w14:paraId="337B1C1A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市场占有率提升</w:t>
            </w:r>
          </w:p>
        </w:tc>
        <w:tc>
          <w:tcPr>
            <w:tcW w:w="5265" w:type="dxa"/>
            <w:gridSpan w:val="4"/>
          </w:tcPr>
          <w:p w14:paraId="14F1E36B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34088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7" w:type="dxa"/>
            <w:vMerge w:val="continue"/>
          </w:tcPr>
          <w:p w14:paraId="2010BFAC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711" w:type="dxa"/>
            <w:vMerge w:val="continue"/>
            <w:vAlign w:val="center"/>
          </w:tcPr>
          <w:p w14:paraId="3D95F6BC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2410" w:type="dxa"/>
          </w:tcPr>
          <w:p w14:paraId="3D276E8D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技术实力提升</w:t>
            </w:r>
          </w:p>
        </w:tc>
        <w:tc>
          <w:tcPr>
            <w:tcW w:w="5265" w:type="dxa"/>
            <w:gridSpan w:val="4"/>
          </w:tcPr>
          <w:p w14:paraId="2CC8F269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74151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7" w:type="dxa"/>
            <w:vMerge w:val="continue"/>
          </w:tcPr>
          <w:p w14:paraId="45761478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711" w:type="dxa"/>
            <w:vMerge w:val="continue"/>
            <w:vAlign w:val="center"/>
          </w:tcPr>
          <w:p w14:paraId="5DFC1490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2410" w:type="dxa"/>
          </w:tcPr>
          <w:p w14:paraId="2AADB167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企业盈利能力提升</w:t>
            </w:r>
          </w:p>
        </w:tc>
        <w:tc>
          <w:tcPr>
            <w:tcW w:w="5265" w:type="dxa"/>
            <w:gridSpan w:val="4"/>
          </w:tcPr>
          <w:p w14:paraId="647B9522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5EA5B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7" w:type="dxa"/>
            <w:vMerge w:val="continue"/>
          </w:tcPr>
          <w:p w14:paraId="67EA0C55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711" w:type="dxa"/>
            <w:vMerge w:val="continue"/>
            <w:vAlign w:val="center"/>
          </w:tcPr>
          <w:p w14:paraId="18E80800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2410" w:type="dxa"/>
          </w:tcPr>
          <w:p w14:paraId="1887A9CA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其他</w:t>
            </w:r>
          </w:p>
        </w:tc>
        <w:tc>
          <w:tcPr>
            <w:tcW w:w="5265" w:type="dxa"/>
            <w:gridSpan w:val="4"/>
          </w:tcPr>
          <w:p w14:paraId="2789704B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7DBC9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7" w:type="dxa"/>
            <w:vMerge w:val="continue"/>
          </w:tcPr>
          <w:p w14:paraId="15C86BB7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44D902C7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对产业支撑作用</w:t>
            </w:r>
          </w:p>
        </w:tc>
        <w:tc>
          <w:tcPr>
            <w:tcW w:w="2410" w:type="dxa"/>
          </w:tcPr>
          <w:p w14:paraId="544C6814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对产业集群化、规模化带动作用</w:t>
            </w:r>
          </w:p>
        </w:tc>
        <w:tc>
          <w:tcPr>
            <w:tcW w:w="5265" w:type="dxa"/>
            <w:gridSpan w:val="4"/>
          </w:tcPr>
          <w:p w14:paraId="1241B4AA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00E93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7" w:type="dxa"/>
            <w:vMerge w:val="continue"/>
          </w:tcPr>
          <w:p w14:paraId="473BEF89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711" w:type="dxa"/>
            <w:vMerge w:val="continue"/>
          </w:tcPr>
          <w:p w14:paraId="61613E33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2410" w:type="dxa"/>
          </w:tcPr>
          <w:p w14:paraId="6A9C05CA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对产业数字化、智能化、绿色化带动作用</w:t>
            </w:r>
          </w:p>
        </w:tc>
        <w:tc>
          <w:tcPr>
            <w:tcW w:w="5265" w:type="dxa"/>
            <w:gridSpan w:val="4"/>
          </w:tcPr>
          <w:p w14:paraId="7E96F95C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2C7C2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7" w:type="dxa"/>
            <w:vMerge w:val="continue"/>
          </w:tcPr>
          <w:p w14:paraId="0EC6B54B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711" w:type="dxa"/>
            <w:vMerge w:val="continue"/>
          </w:tcPr>
          <w:p w14:paraId="7825AD73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2410" w:type="dxa"/>
          </w:tcPr>
          <w:p w14:paraId="587C0AC0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对行业技术带动作用</w:t>
            </w:r>
          </w:p>
        </w:tc>
        <w:tc>
          <w:tcPr>
            <w:tcW w:w="5265" w:type="dxa"/>
            <w:gridSpan w:val="4"/>
          </w:tcPr>
          <w:p w14:paraId="29B5549F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09DAC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7" w:type="dxa"/>
            <w:vMerge w:val="continue"/>
          </w:tcPr>
          <w:p w14:paraId="331797A9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711" w:type="dxa"/>
            <w:vMerge w:val="continue"/>
          </w:tcPr>
          <w:p w14:paraId="2B220F0E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2410" w:type="dxa"/>
          </w:tcPr>
          <w:p w14:paraId="54A84BB3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对区域经济带动作用</w:t>
            </w:r>
          </w:p>
        </w:tc>
        <w:tc>
          <w:tcPr>
            <w:tcW w:w="5265" w:type="dxa"/>
            <w:gridSpan w:val="4"/>
          </w:tcPr>
          <w:p w14:paraId="576CF408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0F464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7" w:type="dxa"/>
            <w:vMerge w:val="continue"/>
          </w:tcPr>
          <w:p w14:paraId="2919BA43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1711" w:type="dxa"/>
            <w:vMerge w:val="continue"/>
          </w:tcPr>
          <w:p w14:paraId="5B0B6D09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2410" w:type="dxa"/>
          </w:tcPr>
          <w:p w14:paraId="6062E429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其他</w:t>
            </w:r>
          </w:p>
        </w:tc>
        <w:tc>
          <w:tcPr>
            <w:tcW w:w="5265" w:type="dxa"/>
            <w:gridSpan w:val="4"/>
          </w:tcPr>
          <w:p w14:paraId="4CD7D654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0AE0A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268" w:type="dxa"/>
            <w:gridSpan w:val="2"/>
            <w:vMerge w:val="restart"/>
          </w:tcPr>
          <w:p w14:paraId="1555A93D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往年贴息情况</w:t>
            </w:r>
          </w:p>
        </w:tc>
        <w:tc>
          <w:tcPr>
            <w:tcW w:w="2410" w:type="dxa"/>
          </w:tcPr>
          <w:p w14:paraId="124A4302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贴息期限</w:t>
            </w:r>
          </w:p>
        </w:tc>
        <w:tc>
          <w:tcPr>
            <w:tcW w:w="5265" w:type="dxa"/>
            <w:gridSpan w:val="4"/>
          </w:tcPr>
          <w:p w14:paraId="45F95FE5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贴息额</w:t>
            </w:r>
          </w:p>
        </w:tc>
      </w:tr>
      <w:tr w14:paraId="08EA3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268" w:type="dxa"/>
            <w:gridSpan w:val="2"/>
            <w:vMerge w:val="continue"/>
          </w:tcPr>
          <w:p w14:paraId="67AF6404">
            <w:pPr>
              <w:rPr>
                <w:rFonts w:hint="eastAsia" w:ascii="宋体" w:hAnsi="宋体" w:cs="黑体"/>
                <w:sz w:val="24"/>
              </w:rPr>
            </w:pPr>
          </w:p>
        </w:tc>
        <w:tc>
          <w:tcPr>
            <w:tcW w:w="2410" w:type="dxa"/>
          </w:tcPr>
          <w:p w14:paraId="4E9CE723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  <w:tc>
          <w:tcPr>
            <w:tcW w:w="5265" w:type="dxa"/>
            <w:gridSpan w:val="4"/>
          </w:tcPr>
          <w:p w14:paraId="745C02F4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　</w:t>
            </w:r>
          </w:p>
        </w:tc>
      </w:tr>
      <w:tr w14:paraId="01174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2268" w:type="dxa"/>
            <w:gridSpan w:val="2"/>
          </w:tcPr>
          <w:p w14:paraId="1B71DE65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拟申报贴息额（万元）</w:t>
            </w:r>
          </w:p>
        </w:tc>
        <w:tc>
          <w:tcPr>
            <w:tcW w:w="7675" w:type="dxa"/>
            <w:gridSpan w:val="5"/>
          </w:tcPr>
          <w:p w14:paraId="7A6D7B7D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1.并购贷款贴息，贴息率不超过人民银行公布的同期中长期贷款市场报价利率（LPR），实际利率低于LPR的，按实际利率贴息。</w:t>
            </w:r>
          </w:p>
          <w:p w14:paraId="55277075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2.若已获国家财政贴息，应扣除相应部分。</w:t>
            </w:r>
          </w:p>
          <w:p w14:paraId="651210B1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3.结果向下取整，精确到万元。</w:t>
            </w:r>
          </w:p>
        </w:tc>
      </w:tr>
      <w:tr w14:paraId="0EA43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2268" w:type="dxa"/>
            <w:gridSpan w:val="2"/>
          </w:tcPr>
          <w:p w14:paraId="762AD25F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cs="黑体"/>
                <w:sz w:val="24"/>
              </w:rPr>
              <w:t>申报</w:t>
            </w:r>
            <w:r>
              <w:rPr>
                <w:rFonts w:hint="eastAsia" w:ascii="宋体" w:hAnsi="宋体" w:eastAsia="宋体" w:cs="黑体"/>
                <w:sz w:val="24"/>
              </w:rPr>
              <w:t>贴息</w:t>
            </w:r>
            <w:r>
              <w:rPr>
                <w:rFonts w:hint="eastAsia" w:ascii="宋体" w:hAnsi="宋体" w:cs="黑体"/>
                <w:sz w:val="24"/>
              </w:rPr>
              <w:t>期</w:t>
            </w:r>
          </w:p>
        </w:tc>
        <w:tc>
          <w:tcPr>
            <w:tcW w:w="7675" w:type="dxa"/>
            <w:gridSpan w:val="5"/>
          </w:tcPr>
          <w:p w14:paraId="63D572DB">
            <w:pPr>
              <w:rPr>
                <w:rFonts w:hint="eastAsia" w:ascii="宋体" w:hAnsi="宋体" w:cs="黑体"/>
                <w:sz w:val="24"/>
              </w:rPr>
            </w:pPr>
            <w:r>
              <w:rPr>
                <w:rFonts w:hint="eastAsia" w:ascii="宋体" w:hAnsi="宋体" w:eastAsia="宋体" w:cs="黑体"/>
                <w:sz w:val="24"/>
              </w:rPr>
              <w:t>20XX年X月X日-20XX年X月X日</w:t>
            </w:r>
          </w:p>
        </w:tc>
      </w:tr>
    </w:tbl>
    <w:p w14:paraId="4D507C9D">
      <w:pPr>
        <w:rPr>
          <w:rFonts w:hint="eastAsia" w:ascii="仿宋_GB2312" w:hAnsi="宋体"/>
          <w:szCs w:val="32"/>
        </w:rPr>
      </w:pPr>
      <w:r>
        <w:rPr>
          <w:rFonts w:ascii="仿宋_GB2312" w:hAnsi="宋体"/>
          <w:szCs w:val="32"/>
        </w:rPr>
        <w:t xml:space="preserve"> </w:t>
      </w:r>
    </w:p>
    <w:p w14:paraId="23C9829B">
      <w:pPr>
        <w:spacing w:line="560" w:lineRule="exact"/>
        <w:rPr>
          <w:rFonts w:hint="eastAsia" w:ascii="仿宋_GB2312" w:hAnsi="黑体"/>
          <w:szCs w:val="32"/>
        </w:rPr>
        <w:sectPr>
          <w:pgSz w:w="11906" w:h="16838"/>
          <w:pgMar w:top="2098" w:right="1474" w:bottom="1985" w:left="1588" w:header="851" w:footer="992" w:gutter="0"/>
          <w:pgNumType w:fmt="numberInDash"/>
          <w:cols w:space="720" w:num="1"/>
          <w:docGrid w:type="lines" w:linePitch="435" w:charSpace="0"/>
        </w:sectPr>
      </w:pPr>
    </w:p>
    <w:tbl>
      <w:tblPr>
        <w:tblStyle w:val="22"/>
        <w:tblW w:w="90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390"/>
        <w:gridCol w:w="1646"/>
        <w:gridCol w:w="1840"/>
        <w:gridCol w:w="995"/>
        <w:gridCol w:w="1650"/>
      </w:tblGrid>
      <w:tr w14:paraId="2B405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16" w:type="dxa"/>
            <w:gridSpan w:val="6"/>
            <w:tcBorders>
              <w:top w:val="nil"/>
              <w:left w:val="nil"/>
              <w:right w:val="nil"/>
            </w:tcBorders>
          </w:tcPr>
          <w:p w14:paraId="04A4398C">
            <w:pPr>
              <w:spacing w:line="560" w:lineRule="exac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Cs w:val="32"/>
              </w:rPr>
              <w:t>附件3-3</w:t>
            </w:r>
          </w:p>
        </w:tc>
      </w:tr>
      <w:tr w14:paraId="70C84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9016" w:type="dxa"/>
            <w:gridSpan w:val="6"/>
          </w:tcPr>
          <w:p w14:paraId="5F3E36C7">
            <w:pPr>
              <w:spacing w:line="560" w:lineRule="exact"/>
              <w:jc w:val="center"/>
              <w:rPr>
                <w:rFonts w:hint="eastAsia" w:ascii="方正小标宋简体" w:hAnsi="宋体" w:eastAsia="方正小标宋简体"/>
                <w:sz w:val="30"/>
                <w:szCs w:val="30"/>
              </w:rPr>
            </w:pPr>
            <w:r>
              <w:rPr>
                <w:rFonts w:hint="eastAsia" w:ascii="方正小标宋简体" w:hAnsi="宋体" w:eastAsia="方正小标宋简体"/>
                <w:sz w:val="30"/>
                <w:szCs w:val="30"/>
              </w:rPr>
              <w:t>银行借款合同审查表</w:t>
            </w:r>
          </w:p>
        </w:tc>
      </w:tr>
      <w:tr w14:paraId="49D11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495" w:type="dxa"/>
          </w:tcPr>
          <w:p w14:paraId="4EE20B3F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企业名称</w:t>
            </w:r>
          </w:p>
        </w:tc>
        <w:tc>
          <w:tcPr>
            <w:tcW w:w="7521" w:type="dxa"/>
            <w:gridSpan w:val="5"/>
          </w:tcPr>
          <w:p w14:paraId="50D656EA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</w:tr>
      <w:tr w14:paraId="69C46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95" w:type="dxa"/>
          </w:tcPr>
          <w:p w14:paraId="76B18EAB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项目名称</w:t>
            </w:r>
          </w:p>
        </w:tc>
        <w:tc>
          <w:tcPr>
            <w:tcW w:w="7521" w:type="dxa"/>
            <w:gridSpan w:val="5"/>
          </w:tcPr>
          <w:p w14:paraId="14BB1FEC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</w:tr>
      <w:tr w14:paraId="5E0B8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2" w:hRule="atLeast"/>
        </w:trPr>
        <w:tc>
          <w:tcPr>
            <w:tcW w:w="1495" w:type="dxa"/>
          </w:tcPr>
          <w:p w14:paraId="2E9CCDBC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借 款 人</w:t>
            </w:r>
          </w:p>
        </w:tc>
        <w:tc>
          <w:tcPr>
            <w:tcW w:w="7521" w:type="dxa"/>
            <w:gridSpan w:val="5"/>
          </w:tcPr>
          <w:p w14:paraId="508D7698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</w:tr>
      <w:tr w14:paraId="1C404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95" w:type="dxa"/>
          </w:tcPr>
          <w:p w14:paraId="7A8C0ED1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借款银行</w:t>
            </w:r>
          </w:p>
        </w:tc>
        <w:tc>
          <w:tcPr>
            <w:tcW w:w="7521" w:type="dxa"/>
            <w:gridSpan w:val="5"/>
          </w:tcPr>
          <w:p w14:paraId="6A21582B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</w:tr>
      <w:tr w14:paraId="65E50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0" w:hRule="atLeast"/>
        </w:trPr>
        <w:tc>
          <w:tcPr>
            <w:tcW w:w="1495" w:type="dxa"/>
          </w:tcPr>
          <w:p w14:paraId="68FE50D0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合 同 号</w:t>
            </w:r>
          </w:p>
        </w:tc>
        <w:tc>
          <w:tcPr>
            <w:tcW w:w="7521" w:type="dxa"/>
            <w:gridSpan w:val="5"/>
          </w:tcPr>
          <w:p w14:paraId="7F6F24D5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</w:tr>
      <w:tr w14:paraId="3B5EA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" w:hRule="atLeast"/>
        </w:trPr>
        <w:tc>
          <w:tcPr>
            <w:tcW w:w="9016" w:type="dxa"/>
            <w:gridSpan w:val="6"/>
            <w:vAlign w:val="center"/>
          </w:tcPr>
          <w:p w14:paraId="1E5B9B39">
            <w:pPr>
              <w:spacing w:line="56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合同执行情况</w:t>
            </w:r>
          </w:p>
        </w:tc>
      </w:tr>
      <w:tr w14:paraId="1C456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95" w:type="dxa"/>
          </w:tcPr>
          <w:p w14:paraId="396E86CD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借款用途</w:t>
            </w:r>
          </w:p>
        </w:tc>
        <w:tc>
          <w:tcPr>
            <w:tcW w:w="7521" w:type="dxa"/>
            <w:gridSpan w:val="5"/>
          </w:tcPr>
          <w:p w14:paraId="60364016"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</w:tc>
      </w:tr>
      <w:tr w14:paraId="792B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95" w:type="dxa"/>
            <w:vMerge w:val="restart"/>
          </w:tcPr>
          <w:p w14:paraId="2EC4DE04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提款到位情况</w:t>
            </w:r>
          </w:p>
        </w:tc>
        <w:tc>
          <w:tcPr>
            <w:tcW w:w="1390" w:type="dxa"/>
          </w:tcPr>
          <w:p w14:paraId="51860C8E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时间</w:t>
            </w:r>
          </w:p>
        </w:tc>
        <w:tc>
          <w:tcPr>
            <w:tcW w:w="1646" w:type="dxa"/>
          </w:tcPr>
          <w:p w14:paraId="1E9C79E8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金额 （万元）</w:t>
            </w:r>
          </w:p>
        </w:tc>
        <w:tc>
          <w:tcPr>
            <w:tcW w:w="1840" w:type="dxa"/>
            <w:vMerge w:val="restart"/>
          </w:tcPr>
          <w:p w14:paraId="73FD7658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还本情况</w:t>
            </w:r>
          </w:p>
        </w:tc>
        <w:tc>
          <w:tcPr>
            <w:tcW w:w="995" w:type="dxa"/>
          </w:tcPr>
          <w:p w14:paraId="5DB20F98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时间</w:t>
            </w:r>
          </w:p>
        </w:tc>
        <w:tc>
          <w:tcPr>
            <w:tcW w:w="1650" w:type="dxa"/>
          </w:tcPr>
          <w:p w14:paraId="130D1D5A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金额（万元）</w:t>
            </w:r>
          </w:p>
        </w:tc>
      </w:tr>
      <w:tr w14:paraId="51CD9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495" w:type="dxa"/>
            <w:vMerge w:val="continue"/>
          </w:tcPr>
          <w:p w14:paraId="1F34AA19"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390" w:type="dxa"/>
          </w:tcPr>
          <w:p w14:paraId="426E311C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  <w:tc>
          <w:tcPr>
            <w:tcW w:w="1646" w:type="dxa"/>
          </w:tcPr>
          <w:p w14:paraId="185EE993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  <w:tc>
          <w:tcPr>
            <w:tcW w:w="1840" w:type="dxa"/>
            <w:vMerge w:val="continue"/>
          </w:tcPr>
          <w:p w14:paraId="0C335D2F"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995" w:type="dxa"/>
          </w:tcPr>
          <w:p w14:paraId="298A9111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  <w:tc>
          <w:tcPr>
            <w:tcW w:w="1650" w:type="dxa"/>
          </w:tcPr>
          <w:p w14:paraId="43EC0D78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</w:tr>
      <w:tr w14:paraId="4B2CF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495" w:type="dxa"/>
            <w:vMerge w:val="continue"/>
          </w:tcPr>
          <w:p w14:paraId="57DAD31B"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390" w:type="dxa"/>
          </w:tcPr>
          <w:p w14:paraId="00E18BAD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  <w:tc>
          <w:tcPr>
            <w:tcW w:w="1646" w:type="dxa"/>
          </w:tcPr>
          <w:p w14:paraId="67B82FA8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  <w:tc>
          <w:tcPr>
            <w:tcW w:w="1840" w:type="dxa"/>
            <w:vMerge w:val="continue"/>
          </w:tcPr>
          <w:p w14:paraId="200928A2"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995" w:type="dxa"/>
          </w:tcPr>
          <w:p w14:paraId="1A68A3AC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  <w:tc>
          <w:tcPr>
            <w:tcW w:w="1650" w:type="dxa"/>
          </w:tcPr>
          <w:p w14:paraId="3B5BC8A3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</w:tr>
      <w:tr w14:paraId="02364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95" w:type="dxa"/>
            <w:vMerge w:val="continue"/>
          </w:tcPr>
          <w:p w14:paraId="16ECD17A"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390" w:type="dxa"/>
          </w:tcPr>
          <w:p w14:paraId="162CE07B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  <w:tc>
          <w:tcPr>
            <w:tcW w:w="1646" w:type="dxa"/>
          </w:tcPr>
          <w:p w14:paraId="52AC9A23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  <w:tc>
          <w:tcPr>
            <w:tcW w:w="1840" w:type="dxa"/>
            <w:vMerge w:val="continue"/>
          </w:tcPr>
          <w:p w14:paraId="42A2072F"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995" w:type="dxa"/>
          </w:tcPr>
          <w:p w14:paraId="5CFA6113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  <w:tc>
          <w:tcPr>
            <w:tcW w:w="1650" w:type="dxa"/>
          </w:tcPr>
          <w:p w14:paraId="0C6B0F4A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</w:tr>
      <w:tr w14:paraId="564A0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5" w:hRule="atLeast"/>
        </w:trPr>
        <w:tc>
          <w:tcPr>
            <w:tcW w:w="1495" w:type="dxa"/>
            <w:vMerge w:val="continue"/>
          </w:tcPr>
          <w:p w14:paraId="77583305"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390" w:type="dxa"/>
          </w:tcPr>
          <w:p w14:paraId="0DAA3FAE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  <w:tc>
          <w:tcPr>
            <w:tcW w:w="1646" w:type="dxa"/>
          </w:tcPr>
          <w:p w14:paraId="5759C02A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  <w:tc>
          <w:tcPr>
            <w:tcW w:w="1840" w:type="dxa"/>
            <w:vMerge w:val="continue"/>
          </w:tcPr>
          <w:p w14:paraId="292DEFD0"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995" w:type="dxa"/>
          </w:tcPr>
          <w:p w14:paraId="6255CF42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  <w:tc>
          <w:tcPr>
            <w:tcW w:w="1650" w:type="dxa"/>
          </w:tcPr>
          <w:p w14:paraId="10FD08DF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</w:tr>
      <w:tr w14:paraId="4410B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495" w:type="dxa"/>
          </w:tcPr>
          <w:p w14:paraId="7171B4DF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年利率（%）</w:t>
            </w:r>
          </w:p>
        </w:tc>
        <w:tc>
          <w:tcPr>
            <w:tcW w:w="3036" w:type="dxa"/>
            <w:gridSpan w:val="2"/>
          </w:tcPr>
          <w:p w14:paraId="3234C8C5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  <w:tc>
          <w:tcPr>
            <w:tcW w:w="1840" w:type="dxa"/>
          </w:tcPr>
          <w:p w14:paraId="2E070DDA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实际年利率（%）</w:t>
            </w:r>
          </w:p>
        </w:tc>
        <w:tc>
          <w:tcPr>
            <w:tcW w:w="2645" w:type="dxa"/>
            <w:gridSpan w:val="2"/>
          </w:tcPr>
          <w:p w14:paraId="5FAB2754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</w:tr>
      <w:tr w14:paraId="5F10F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495" w:type="dxa"/>
          </w:tcPr>
          <w:p w14:paraId="50749212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借款时间</w:t>
            </w:r>
          </w:p>
        </w:tc>
        <w:tc>
          <w:tcPr>
            <w:tcW w:w="3036" w:type="dxa"/>
            <w:gridSpan w:val="2"/>
          </w:tcPr>
          <w:p w14:paraId="23148C57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  <w:tc>
          <w:tcPr>
            <w:tcW w:w="1840" w:type="dxa"/>
          </w:tcPr>
          <w:p w14:paraId="6658AA3D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应付利息</w:t>
            </w:r>
          </w:p>
        </w:tc>
        <w:tc>
          <w:tcPr>
            <w:tcW w:w="2645" w:type="dxa"/>
            <w:gridSpan w:val="2"/>
          </w:tcPr>
          <w:p w14:paraId="7287CEAF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</w:tr>
      <w:tr w14:paraId="30399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0" w:hRule="atLeast"/>
        </w:trPr>
        <w:tc>
          <w:tcPr>
            <w:tcW w:w="1495" w:type="dxa"/>
          </w:tcPr>
          <w:p w14:paraId="29135F98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期限</w:t>
            </w:r>
          </w:p>
        </w:tc>
        <w:tc>
          <w:tcPr>
            <w:tcW w:w="3036" w:type="dxa"/>
            <w:gridSpan w:val="2"/>
          </w:tcPr>
          <w:p w14:paraId="67472315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  <w:tc>
          <w:tcPr>
            <w:tcW w:w="1840" w:type="dxa"/>
          </w:tcPr>
          <w:p w14:paraId="2F19C6CE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已付利息</w:t>
            </w:r>
          </w:p>
        </w:tc>
        <w:tc>
          <w:tcPr>
            <w:tcW w:w="2645" w:type="dxa"/>
            <w:gridSpan w:val="2"/>
          </w:tcPr>
          <w:p w14:paraId="0AEC8F13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</w:t>
            </w:r>
          </w:p>
        </w:tc>
      </w:tr>
      <w:tr w14:paraId="659AF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71" w:type="dxa"/>
            <w:gridSpan w:val="4"/>
          </w:tcPr>
          <w:p w14:paraId="2C1FD826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*每个合同填一张表　　　　　　　　　　　　   　　　　　　</w:t>
            </w:r>
          </w:p>
          <w:p w14:paraId="5CB3F51B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　　　　　　　　　　　　　　　　　　　　　　　　　　　　　　</w:t>
            </w:r>
          </w:p>
        </w:tc>
        <w:tc>
          <w:tcPr>
            <w:tcW w:w="2645" w:type="dxa"/>
            <w:gridSpan w:val="2"/>
          </w:tcPr>
          <w:p w14:paraId="7ECEFBB3"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日期：</w:t>
            </w:r>
            <w:r>
              <w:rPr>
                <w:rFonts w:hint="eastAsia" w:ascii="宋体" w:hAnsi="宋体" w:eastAsia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hint="eastAsia" w:ascii="宋体" w:hAnsi="宋体" w:eastAsia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hint="eastAsia" w:ascii="宋体" w:hAnsi="宋体" w:eastAsia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</w:tr>
    </w:tbl>
    <w:p w14:paraId="05B46E91">
      <w:pPr>
        <w:spacing w:line="560" w:lineRule="exact"/>
        <w:jc w:val="left"/>
        <w:rPr>
          <w:rFonts w:hint="eastAsia" w:ascii="黑体" w:hAnsi="黑体" w:eastAsia="黑体" w:cs="黑体"/>
          <w:szCs w:val="32"/>
        </w:rPr>
      </w:pPr>
    </w:p>
    <w:p w14:paraId="760255B0">
      <w:pPr>
        <w:widowControl/>
        <w:spacing w:line="240" w:lineRule="auto"/>
        <w:jc w:val="lef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br w:type="page"/>
      </w:r>
    </w:p>
    <w:p w14:paraId="529E36CD">
      <w:pPr>
        <w:spacing w:line="480" w:lineRule="exact"/>
        <w:jc w:val="lef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附件3-4</w:t>
      </w:r>
    </w:p>
    <w:p w14:paraId="66171119">
      <w:pPr>
        <w:spacing w:after="0"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北京市高精尖产业发展项目资金承诺书</w:t>
      </w:r>
    </w:p>
    <w:p w14:paraId="1DF7CF37">
      <w:pPr>
        <w:spacing w:after="0" w:line="520" w:lineRule="exact"/>
        <w:ind w:firstLine="616" w:firstLineChars="200"/>
        <w:rPr>
          <w:rFonts w:hint="eastAsia" w:ascii="仿宋_GB2312" w:hAnsi="宋体"/>
          <w:szCs w:val="32"/>
        </w:rPr>
      </w:pPr>
      <w:r>
        <w:rPr>
          <w:rFonts w:hint="eastAsia" w:ascii="仿宋_GB2312" w:hAnsi="宋体"/>
          <w:szCs w:val="32"/>
        </w:rPr>
        <w:t>本单位拟申报20</w:t>
      </w:r>
      <w:r>
        <w:rPr>
          <w:rFonts w:ascii="仿宋_GB2312" w:hAnsi="宋体"/>
          <w:szCs w:val="32"/>
        </w:rPr>
        <w:t>2</w:t>
      </w:r>
      <w:r>
        <w:rPr>
          <w:rFonts w:hint="eastAsia" w:ascii="仿宋_GB2312" w:hAnsi="宋体"/>
          <w:szCs w:val="32"/>
        </w:rPr>
        <w:t>6年北京市高精尖产业发展项目资金</w:t>
      </w:r>
      <w:r>
        <w:rPr>
          <w:rFonts w:hint="eastAsia" w:ascii="仿宋_GB2312" w:hAnsi="宋体"/>
          <w:szCs w:val="32"/>
          <w:u w:val="single"/>
        </w:rPr>
        <w:t>战略新兴及未来产业并购贷款贴息</w:t>
      </w:r>
      <w:r>
        <w:rPr>
          <w:rFonts w:hint="eastAsia" w:ascii="仿宋_GB2312" w:hAnsi="宋体"/>
          <w:szCs w:val="32"/>
        </w:rPr>
        <w:t>方向，具体承诺如下：</w:t>
      </w:r>
    </w:p>
    <w:p w14:paraId="380645A5">
      <w:pPr>
        <w:adjustRightInd w:val="0"/>
        <w:snapToGrid w:val="0"/>
        <w:spacing w:after="0" w:line="520" w:lineRule="exact"/>
        <w:ind w:firstLine="616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1.</w:t>
      </w:r>
      <w:r>
        <w:rPr>
          <w:rFonts w:hint="eastAsia" w:ascii="仿宋_GB2312" w:hAnsi="宋体" w:eastAsia="仿宋_GB2312"/>
          <w:sz w:val="32"/>
          <w:szCs w:val="32"/>
        </w:rPr>
        <w:t>本</w:t>
      </w:r>
      <w:r>
        <w:rPr>
          <w:rFonts w:ascii="仿宋_GB2312" w:hAnsi="宋体" w:eastAsia="仿宋_GB2312"/>
          <w:sz w:val="32"/>
          <w:szCs w:val="32"/>
        </w:rPr>
        <w:t>单位严格遵守</w:t>
      </w:r>
      <w:r>
        <w:rPr>
          <w:rFonts w:hint="eastAsia" w:ascii="仿宋_GB2312" w:hAnsi="宋体" w:eastAsia="仿宋_GB2312"/>
          <w:sz w:val="32"/>
          <w:szCs w:val="32"/>
        </w:rPr>
        <w:t>国家相关法律法规、政策要求，以及</w:t>
      </w:r>
      <w:r>
        <w:rPr>
          <w:rFonts w:ascii="仿宋_GB2312" w:hAnsi="宋体" w:eastAsia="仿宋_GB2312"/>
          <w:sz w:val="32"/>
          <w:szCs w:val="32"/>
        </w:rPr>
        <w:t>《北京市高精尖产业发展</w:t>
      </w:r>
      <w:r>
        <w:rPr>
          <w:rFonts w:hint="eastAsia" w:ascii="仿宋_GB2312" w:hAnsi="宋体" w:eastAsia="仿宋_GB2312"/>
          <w:sz w:val="32"/>
          <w:szCs w:val="32"/>
        </w:rPr>
        <w:t>项目</w:t>
      </w:r>
      <w:r>
        <w:rPr>
          <w:rFonts w:ascii="仿宋_GB2312" w:hAnsi="宋体" w:eastAsia="仿宋_GB2312"/>
          <w:sz w:val="32"/>
          <w:szCs w:val="32"/>
        </w:rPr>
        <w:t>资金管理办法》等相关规定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63AA9605">
      <w:pPr>
        <w:adjustRightInd w:val="0"/>
        <w:snapToGrid w:val="0"/>
        <w:spacing w:after="0" w:line="520" w:lineRule="exact"/>
        <w:ind w:firstLine="616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ascii="仿宋_GB2312" w:hAnsi="宋体" w:eastAsia="仿宋_GB2312"/>
          <w:color w:val="000000"/>
          <w:sz w:val="32"/>
          <w:szCs w:val="32"/>
        </w:rPr>
        <w:t>2.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本单位未</w:t>
      </w:r>
      <w:r>
        <w:rPr>
          <w:rFonts w:hint="eastAsia" w:ascii="仿宋_GB2312" w:hAnsi="Times New Roman" w:eastAsia="仿宋_GB2312"/>
          <w:color w:val="000000"/>
          <w:spacing w:val="-6"/>
          <w:sz w:val="32"/>
          <w:szCs w:val="32"/>
          <w:lang w:bidi="he-IL"/>
        </w:rPr>
        <w:t>因违法失信行为被行政机关实施联合惩戒，或被司法部门采取失信惩戒措施。</w:t>
      </w:r>
    </w:p>
    <w:p w14:paraId="557E7E4C">
      <w:pPr>
        <w:spacing w:after="0" w:line="520" w:lineRule="exact"/>
        <w:ind w:firstLine="591" w:firstLineChars="192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3</w:t>
      </w:r>
      <w:r>
        <w:rPr>
          <w:rFonts w:ascii="仿宋_GB2312" w:hAnsi="宋体" w:eastAsia="仿宋_GB2312"/>
          <w:color w:val="000000"/>
          <w:sz w:val="32"/>
          <w:szCs w:val="32"/>
        </w:rPr>
        <w:t>.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本单位提交的全部材料均真实、准确</w:t>
      </w:r>
      <w:r>
        <w:rPr>
          <w:rFonts w:ascii="仿宋_GB2312" w:hAnsi="宋体" w:eastAsia="仿宋_GB2312"/>
          <w:color w:val="000000"/>
          <w:sz w:val="32"/>
          <w:szCs w:val="32"/>
        </w:rPr>
        <w:t>、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有效，申报资格和条件符合指南、通知相关规定。</w:t>
      </w:r>
    </w:p>
    <w:p w14:paraId="51A72A20">
      <w:pPr>
        <w:spacing w:after="0" w:line="520" w:lineRule="exact"/>
        <w:ind w:firstLine="591" w:firstLineChars="192"/>
        <w:rPr>
          <w:rFonts w:hint="eastAsia" w:ascii="仿宋_GB2312" w:hAnsi="宋体"/>
          <w:szCs w:val="32"/>
        </w:rPr>
      </w:pPr>
      <w:r>
        <w:rPr>
          <w:rFonts w:hint="eastAsia" w:ascii="仿宋_GB2312" w:hAnsi="宋体"/>
          <w:szCs w:val="32"/>
        </w:rPr>
        <w:t>4.本次申报并购项目各项手续齐备且未获得过其他市级财政资金支持。</w:t>
      </w:r>
    </w:p>
    <w:p w14:paraId="752C6691">
      <w:pPr>
        <w:adjustRightInd w:val="0"/>
        <w:snapToGrid w:val="0"/>
        <w:spacing w:after="0" w:line="520" w:lineRule="exact"/>
        <w:ind w:firstLine="591" w:firstLineChars="192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5.所有材料已经脱密处理，如有发生涉密资料（载体）泄露，愿意承担有关保密责任。</w:t>
      </w:r>
    </w:p>
    <w:p w14:paraId="4367B938">
      <w:pPr>
        <w:adjustRightInd w:val="0"/>
        <w:snapToGrid w:val="0"/>
        <w:spacing w:after="0" w:line="520" w:lineRule="exact"/>
        <w:ind w:firstLine="616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6.</w:t>
      </w:r>
      <w:r>
        <w:rPr>
          <w:rFonts w:ascii="仿宋_GB2312" w:hAnsi="宋体" w:eastAsia="仿宋_GB2312"/>
          <w:color w:val="000000"/>
          <w:sz w:val="32"/>
          <w:szCs w:val="32"/>
        </w:rPr>
        <w:t>本单位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自愿接受并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积极配合市区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相关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部门监管。</w:t>
      </w:r>
    </w:p>
    <w:p w14:paraId="228941EE">
      <w:pPr>
        <w:adjustRightInd w:val="0"/>
        <w:snapToGrid w:val="0"/>
        <w:spacing w:after="0" w:line="520" w:lineRule="exact"/>
        <w:ind w:firstLine="616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宋体" w:eastAsia="仿宋_GB2312"/>
          <w:color w:val="000000"/>
          <w:sz w:val="32"/>
          <w:szCs w:val="32"/>
        </w:rPr>
        <w:t>7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本单位遵循诚实守信原则，若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违反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以上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事项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将在收到北京市经济和信息化局要求退还资金的通知之日起6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个月内向北京市经济和信息化局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退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还全部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资金。</w:t>
      </w:r>
    </w:p>
    <w:p w14:paraId="4A3923DC">
      <w:pPr>
        <w:adjustRightInd w:val="0"/>
        <w:snapToGrid w:val="0"/>
        <w:spacing w:after="0" w:line="520" w:lineRule="exact"/>
        <w:ind w:firstLine="616" w:firstLineChars="200"/>
        <w:rPr>
          <w:rFonts w:hint="eastAsia" w:ascii="仿宋_GB2312" w:hAnsi="宋体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本单位将按照相关法律法规和制度规定使用高精尖资金，对高精尖资金申报和使用中存在虚报、骗取、挪用、贿赂等违法违规行为，将依照《财政违法行为处罚处分条例》等相关法律法规接受处理。涉嫌犯罪的，自愿接受司法机关依法处理。</w:t>
      </w:r>
      <w:r>
        <w:rPr>
          <w:rFonts w:hint="eastAsia" w:ascii="仿宋_GB2312" w:hAnsi="宋体"/>
          <w:szCs w:val="32"/>
        </w:rPr>
        <w:t xml:space="preserve">      法定代表人（签字）：        单位（签章）：</w:t>
      </w:r>
    </w:p>
    <w:p w14:paraId="5D0695CD">
      <w:pPr>
        <w:widowControl/>
        <w:spacing w:after="0" w:line="520" w:lineRule="exact"/>
        <w:ind w:right="26"/>
        <w:jc w:val="center"/>
        <w:rPr>
          <w:rFonts w:hint="eastAsia"/>
        </w:rPr>
      </w:pPr>
      <w:r>
        <w:rPr>
          <w:rFonts w:hint="eastAsia" w:ascii="仿宋_GB2312" w:hAnsi="宋体"/>
          <w:szCs w:val="32"/>
        </w:rPr>
        <w:t xml:space="preserve">             时间：    年    月</w:t>
      </w:r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-1242481691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09EE4EDD">
        <w:pPr>
          <w:pStyle w:val="15"/>
          <w:jc w:val="center"/>
          <w:rPr>
            <w:rFonts w:hint="eastAsia"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3431BD"/>
    <w:multiLevelType w:val="multilevel"/>
    <w:tmpl w:val="113431BD"/>
    <w:lvl w:ilvl="0" w:tentative="0">
      <w:start w:val="1"/>
      <w:numFmt w:val="decimal"/>
      <w:suff w:val="nothing"/>
      <w:lvlText w:val="%1."/>
      <w:lvlJc w:val="left"/>
      <w:pPr>
        <w:ind w:left="1056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96" w:hanging="440"/>
      </w:pPr>
    </w:lvl>
    <w:lvl w:ilvl="2" w:tentative="0">
      <w:start w:val="1"/>
      <w:numFmt w:val="lowerRoman"/>
      <w:lvlText w:val="%3."/>
      <w:lvlJc w:val="right"/>
      <w:pPr>
        <w:ind w:left="1936" w:hanging="440"/>
      </w:pPr>
    </w:lvl>
    <w:lvl w:ilvl="3" w:tentative="0">
      <w:start w:val="1"/>
      <w:numFmt w:val="decimal"/>
      <w:lvlText w:val="%4."/>
      <w:lvlJc w:val="left"/>
      <w:pPr>
        <w:ind w:left="2376" w:hanging="440"/>
      </w:pPr>
    </w:lvl>
    <w:lvl w:ilvl="4" w:tentative="0">
      <w:start w:val="1"/>
      <w:numFmt w:val="lowerLetter"/>
      <w:lvlText w:val="%5)"/>
      <w:lvlJc w:val="left"/>
      <w:pPr>
        <w:ind w:left="2816" w:hanging="440"/>
      </w:pPr>
    </w:lvl>
    <w:lvl w:ilvl="5" w:tentative="0">
      <w:start w:val="1"/>
      <w:numFmt w:val="lowerRoman"/>
      <w:lvlText w:val="%6."/>
      <w:lvlJc w:val="right"/>
      <w:pPr>
        <w:ind w:left="3256" w:hanging="440"/>
      </w:pPr>
    </w:lvl>
    <w:lvl w:ilvl="6" w:tentative="0">
      <w:start w:val="1"/>
      <w:numFmt w:val="decimal"/>
      <w:lvlText w:val="%7."/>
      <w:lvlJc w:val="left"/>
      <w:pPr>
        <w:ind w:left="3696" w:hanging="440"/>
      </w:pPr>
    </w:lvl>
    <w:lvl w:ilvl="7" w:tentative="0">
      <w:start w:val="1"/>
      <w:numFmt w:val="lowerLetter"/>
      <w:lvlText w:val="%8)"/>
      <w:lvlJc w:val="left"/>
      <w:pPr>
        <w:ind w:left="4136" w:hanging="440"/>
      </w:pPr>
    </w:lvl>
    <w:lvl w:ilvl="8" w:tentative="0">
      <w:start w:val="1"/>
      <w:numFmt w:val="lowerRoman"/>
      <w:lvlText w:val="%9."/>
      <w:lvlJc w:val="right"/>
      <w:pPr>
        <w:ind w:left="4576" w:hanging="440"/>
      </w:pPr>
    </w:lvl>
  </w:abstractNum>
  <w:abstractNum w:abstractNumId="1">
    <w:nsid w:val="506216D5"/>
    <w:multiLevelType w:val="multilevel"/>
    <w:tmpl w:val="506216D5"/>
    <w:lvl w:ilvl="0" w:tentative="0">
      <w:start w:val="1"/>
      <w:numFmt w:val="decimal"/>
      <w:suff w:val="nothing"/>
      <w:lvlText w:val="%1."/>
      <w:lvlJc w:val="left"/>
      <w:pPr>
        <w:ind w:left="1056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96" w:hanging="440"/>
      </w:pPr>
    </w:lvl>
    <w:lvl w:ilvl="2" w:tentative="0">
      <w:start w:val="1"/>
      <w:numFmt w:val="lowerRoman"/>
      <w:lvlText w:val="%3."/>
      <w:lvlJc w:val="right"/>
      <w:pPr>
        <w:ind w:left="1936" w:hanging="440"/>
      </w:pPr>
    </w:lvl>
    <w:lvl w:ilvl="3" w:tentative="0">
      <w:start w:val="1"/>
      <w:numFmt w:val="decimal"/>
      <w:lvlText w:val="%4."/>
      <w:lvlJc w:val="left"/>
      <w:pPr>
        <w:ind w:left="2376" w:hanging="440"/>
      </w:pPr>
    </w:lvl>
    <w:lvl w:ilvl="4" w:tentative="0">
      <w:start w:val="1"/>
      <w:numFmt w:val="lowerLetter"/>
      <w:lvlText w:val="%5)"/>
      <w:lvlJc w:val="left"/>
      <w:pPr>
        <w:ind w:left="2816" w:hanging="440"/>
      </w:pPr>
    </w:lvl>
    <w:lvl w:ilvl="5" w:tentative="0">
      <w:start w:val="1"/>
      <w:numFmt w:val="lowerRoman"/>
      <w:lvlText w:val="%6."/>
      <w:lvlJc w:val="right"/>
      <w:pPr>
        <w:ind w:left="3256" w:hanging="440"/>
      </w:pPr>
    </w:lvl>
    <w:lvl w:ilvl="6" w:tentative="0">
      <w:start w:val="1"/>
      <w:numFmt w:val="decimal"/>
      <w:lvlText w:val="%7."/>
      <w:lvlJc w:val="left"/>
      <w:pPr>
        <w:ind w:left="3696" w:hanging="440"/>
      </w:pPr>
    </w:lvl>
    <w:lvl w:ilvl="7" w:tentative="0">
      <w:start w:val="1"/>
      <w:numFmt w:val="lowerLetter"/>
      <w:lvlText w:val="%8)"/>
      <w:lvlJc w:val="left"/>
      <w:pPr>
        <w:ind w:left="4136" w:hanging="440"/>
      </w:pPr>
    </w:lvl>
    <w:lvl w:ilvl="8" w:tentative="0">
      <w:start w:val="1"/>
      <w:numFmt w:val="lowerRoman"/>
      <w:lvlText w:val="%9."/>
      <w:lvlJc w:val="right"/>
      <w:pPr>
        <w:ind w:left="4576" w:hanging="440"/>
      </w:pPr>
    </w:lvl>
  </w:abstractNum>
  <w:abstractNum w:abstractNumId="2">
    <w:nsid w:val="526B1A4C"/>
    <w:multiLevelType w:val="multilevel"/>
    <w:tmpl w:val="526B1A4C"/>
    <w:lvl w:ilvl="0" w:tentative="0">
      <w:start w:val="1"/>
      <w:numFmt w:val="decimal"/>
      <w:suff w:val="nothing"/>
      <w:lvlText w:val="%1."/>
      <w:lvlJc w:val="left"/>
      <w:pPr>
        <w:ind w:left="1056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96" w:hanging="440"/>
      </w:pPr>
    </w:lvl>
    <w:lvl w:ilvl="2" w:tentative="0">
      <w:start w:val="1"/>
      <w:numFmt w:val="lowerRoman"/>
      <w:lvlText w:val="%3."/>
      <w:lvlJc w:val="right"/>
      <w:pPr>
        <w:ind w:left="1936" w:hanging="440"/>
      </w:pPr>
    </w:lvl>
    <w:lvl w:ilvl="3" w:tentative="0">
      <w:start w:val="1"/>
      <w:numFmt w:val="decimal"/>
      <w:lvlText w:val="%4."/>
      <w:lvlJc w:val="left"/>
      <w:pPr>
        <w:ind w:left="2376" w:hanging="440"/>
      </w:pPr>
    </w:lvl>
    <w:lvl w:ilvl="4" w:tentative="0">
      <w:start w:val="1"/>
      <w:numFmt w:val="lowerLetter"/>
      <w:lvlText w:val="%5)"/>
      <w:lvlJc w:val="left"/>
      <w:pPr>
        <w:ind w:left="2816" w:hanging="440"/>
      </w:pPr>
    </w:lvl>
    <w:lvl w:ilvl="5" w:tentative="0">
      <w:start w:val="1"/>
      <w:numFmt w:val="lowerRoman"/>
      <w:lvlText w:val="%6."/>
      <w:lvlJc w:val="right"/>
      <w:pPr>
        <w:ind w:left="3256" w:hanging="440"/>
      </w:pPr>
    </w:lvl>
    <w:lvl w:ilvl="6" w:tentative="0">
      <w:start w:val="1"/>
      <w:numFmt w:val="decimal"/>
      <w:lvlText w:val="%7."/>
      <w:lvlJc w:val="left"/>
      <w:pPr>
        <w:ind w:left="3696" w:hanging="440"/>
      </w:pPr>
    </w:lvl>
    <w:lvl w:ilvl="7" w:tentative="0">
      <w:start w:val="1"/>
      <w:numFmt w:val="lowerLetter"/>
      <w:lvlText w:val="%8)"/>
      <w:lvlJc w:val="left"/>
      <w:pPr>
        <w:ind w:left="4136" w:hanging="440"/>
      </w:pPr>
    </w:lvl>
    <w:lvl w:ilvl="8" w:tentative="0">
      <w:start w:val="1"/>
      <w:numFmt w:val="lowerRoman"/>
      <w:lvlText w:val="%9."/>
      <w:lvlJc w:val="right"/>
      <w:pPr>
        <w:ind w:left="4576" w:hanging="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HorizontalSpacing w:val="154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38F"/>
    <w:rsid w:val="0000290E"/>
    <w:rsid w:val="000117EB"/>
    <w:rsid w:val="00015450"/>
    <w:rsid w:val="00024EC4"/>
    <w:rsid w:val="00031EEF"/>
    <w:rsid w:val="000333CD"/>
    <w:rsid w:val="00036F75"/>
    <w:rsid w:val="000401E4"/>
    <w:rsid w:val="000414C7"/>
    <w:rsid w:val="00045E59"/>
    <w:rsid w:val="000478A4"/>
    <w:rsid w:val="00052DFA"/>
    <w:rsid w:val="0005363F"/>
    <w:rsid w:val="0005585A"/>
    <w:rsid w:val="00055EE3"/>
    <w:rsid w:val="0006046C"/>
    <w:rsid w:val="0006461E"/>
    <w:rsid w:val="00066EC7"/>
    <w:rsid w:val="000844DA"/>
    <w:rsid w:val="00094EC3"/>
    <w:rsid w:val="000A0B32"/>
    <w:rsid w:val="000A3EF4"/>
    <w:rsid w:val="000A61D6"/>
    <w:rsid w:val="000A682F"/>
    <w:rsid w:val="000A6971"/>
    <w:rsid w:val="000B2127"/>
    <w:rsid w:val="000B40AB"/>
    <w:rsid w:val="000B6BC4"/>
    <w:rsid w:val="000C1100"/>
    <w:rsid w:val="000C11F8"/>
    <w:rsid w:val="000C2644"/>
    <w:rsid w:val="000C4A89"/>
    <w:rsid w:val="00106B8F"/>
    <w:rsid w:val="001146D9"/>
    <w:rsid w:val="00141350"/>
    <w:rsid w:val="001633DE"/>
    <w:rsid w:val="00167EF2"/>
    <w:rsid w:val="0018100B"/>
    <w:rsid w:val="0018137F"/>
    <w:rsid w:val="001840EE"/>
    <w:rsid w:val="001931AA"/>
    <w:rsid w:val="001A1128"/>
    <w:rsid w:val="001A5185"/>
    <w:rsid w:val="001A5927"/>
    <w:rsid w:val="001A629F"/>
    <w:rsid w:val="001A6E01"/>
    <w:rsid w:val="001A7498"/>
    <w:rsid w:val="001B280B"/>
    <w:rsid w:val="001C0608"/>
    <w:rsid w:val="001D00AF"/>
    <w:rsid w:val="001E644B"/>
    <w:rsid w:val="00201EEC"/>
    <w:rsid w:val="00206746"/>
    <w:rsid w:val="002116E6"/>
    <w:rsid w:val="0021645F"/>
    <w:rsid w:val="002238B1"/>
    <w:rsid w:val="00223BE7"/>
    <w:rsid w:val="00225800"/>
    <w:rsid w:val="00230157"/>
    <w:rsid w:val="00231188"/>
    <w:rsid w:val="00237F2A"/>
    <w:rsid w:val="00240DE8"/>
    <w:rsid w:val="00243B84"/>
    <w:rsid w:val="0024698B"/>
    <w:rsid w:val="00247ED8"/>
    <w:rsid w:val="00261890"/>
    <w:rsid w:val="002656AE"/>
    <w:rsid w:val="0027065F"/>
    <w:rsid w:val="00282987"/>
    <w:rsid w:val="00286FE5"/>
    <w:rsid w:val="002945C8"/>
    <w:rsid w:val="00295C7E"/>
    <w:rsid w:val="002A4731"/>
    <w:rsid w:val="002B57FD"/>
    <w:rsid w:val="002C16ED"/>
    <w:rsid w:val="002C4BA7"/>
    <w:rsid w:val="002C6B33"/>
    <w:rsid w:val="002D1BD9"/>
    <w:rsid w:val="002D546F"/>
    <w:rsid w:val="002D6F2B"/>
    <w:rsid w:val="002E48AF"/>
    <w:rsid w:val="00300A2F"/>
    <w:rsid w:val="003021F5"/>
    <w:rsid w:val="00303A83"/>
    <w:rsid w:val="00311E45"/>
    <w:rsid w:val="0032009A"/>
    <w:rsid w:val="00323773"/>
    <w:rsid w:val="00325548"/>
    <w:rsid w:val="00336FD1"/>
    <w:rsid w:val="003446B8"/>
    <w:rsid w:val="00346023"/>
    <w:rsid w:val="00351706"/>
    <w:rsid w:val="00352C0C"/>
    <w:rsid w:val="00355A35"/>
    <w:rsid w:val="00356E74"/>
    <w:rsid w:val="00362BFC"/>
    <w:rsid w:val="00363D8F"/>
    <w:rsid w:val="003660BD"/>
    <w:rsid w:val="0036659E"/>
    <w:rsid w:val="00373EFE"/>
    <w:rsid w:val="00375D39"/>
    <w:rsid w:val="00376A0D"/>
    <w:rsid w:val="00396CDD"/>
    <w:rsid w:val="003A228F"/>
    <w:rsid w:val="003B32B4"/>
    <w:rsid w:val="003C3D98"/>
    <w:rsid w:val="003C7B52"/>
    <w:rsid w:val="003C7D4C"/>
    <w:rsid w:val="003D1525"/>
    <w:rsid w:val="003D5832"/>
    <w:rsid w:val="003D5A46"/>
    <w:rsid w:val="003E2081"/>
    <w:rsid w:val="003E67DE"/>
    <w:rsid w:val="003F0AF9"/>
    <w:rsid w:val="003F3715"/>
    <w:rsid w:val="003F5697"/>
    <w:rsid w:val="004013E0"/>
    <w:rsid w:val="00407A71"/>
    <w:rsid w:val="00412B08"/>
    <w:rsid w:val="004149C6"/>
    <w:rsid w:val="00425C15"/>
    <w:rsid w:val="004278C9"/>
    <w:rsid w:val="00427AD7"/>
    <w:rsid w:val="00442AD6"/>
    <w:rsid w:val="00443522"/>
    <w:rsid w:val="00445001"/>
    <w:rsid w:val="0044563E"/>
    <w:rsid w:val="00445EEB"/>
    <w:rsid w:val="00453F06"/>
    <w:rsid w:val="00461BC9"/>
    <w:rsid w:val="00470B85"/>
    <w:rsid w:val="0047114C"/>
    <w:rsid w:val="00473267"/>
    <w:rsid w:val="00474743"/>
    <w:rsid w:val="00475E10"/>
    <w:rsid w:val="00476ED9"/>
    <w:rsid w:val="00477C88"/>
    <w:rsid w:val="004809FC"/>
    <w:rsid w:val="00481205"/>
    <w:rsid w:val="00487E65"/>
    <w:rsid w:val="00497B78"/>
    <w:rsid w:val="004A0820"/>
    <w:rsid w:val="004A1B5B"/>
    <w:rsid w:val="004A1CD4"/>
    <w:rsid w:val="004B2A07"/>
    <w:rsid w:val="004B43AC"/>
    <w:rsid w:val="004B6878"/>
    <w:rsid w:val="004C53AD"/>
    <w:rsid w:val="004C6189"/>
    <w:rsid w:val="004C66FC"/>
    <w:rsid w:val="004D3C4B"/>
    <w:rsid w:val="004D4D5A"/>
    <w:rsid w:val="004D63EE"/>
    <w:rsid w:val="004D7ED0"/>
    <w:rsid w:val="004F3289"/>
    <w:rsid w:val="004F53CC"/>
    <w:rsid w:val="005024D7"/>
    <w:rsid w:val="00502D8D"/>
    <w:rsid w:val="0051238F"/>
    <w:rsid w:val="0052142E"/>
    <w:rsid w:val="00521632"/>
    <w:rsid w:val="005227A2"/>
    <w:rsid w:val="00533C9B"/>
    <w:rsid w:val="00536B17"/>
    <w:rsid w:val="00542C6B"/>
    <w:rsid w:val="005435D0"/>
    <w:rsid w:val="00543A7F"/>
    <w:rsid w:val="00544B58"/>
    <w:rsid w:val="00546EB1"/>
    <w:rsid w:val="005526C3"/>
    <w:rsid w:val="00552921"/>
    <w:rsid w:val="00560729"/>
    <w:rsid w:val="00577E30"/>
    <w:rsid w:val="00580EB3"/>
    <w:rsid w:val="005824E9"/>
    <w:rsid w:val="00583FA5"/>
    <w:rsid w:val="00590C5D"/>
    <w:rsid w:val="005962E1"/>
    <w:rsid w:val="00596341"/>
    <w:rsid w:val="005B55D5"/>
    <w:rsid w:val="005C2DA2"/>
    <w:rsid w:val="005C5479"/>
    <w:rsid w:val="005C5C0D"/>
    <w:rsid w:val="005D21AF"/>
    <w:rsid w:val="005D3A78"/>
    <w:rsid w:val="005D710D"/>
    <w:rsid w:val="005D7211"/>
    <w:rsid w:val="005E314C"/>
    <w:rsid w:val="005F1BC2"/>
    <w:rsid w:val="005F666B"/>
    <w:rsid w:val="005F75A4"/>
    <w:rsid w:val="005F76CA"/>
    <w:rsid w:val="00604080"/>
    <w:rsid w:val="00612F4C"/>
    <w:rsid w:val="006172B0"/>
    <w:rsid w:val="00617EAD"/>
    <w:rsid w:val="00622186"/>
    <w:rsid w:val="00633B58"/>
    <w:rsid w:val="006409B6"/>
    <w:rsid w:val="00641B4E"/>
    <w:rsid w:val="00641F2A"/>
    <w:rsid w:val="006425FA"/>
    <w:rsid w:val="00671B74"/>
    <w:rsid w:val="00673939"/>
    <w:rsid w:val="00680FFD"/>
    <w:rsid w:val="00681A98"/>
    <w:rsid w:val="00697917"/>
    <w:rsid w:val="006A0943"/>
    <w:rsid w:val="006B3BCF"/>
    <w:rsid w:val="006B4F9B"/>
    <w:rsid w:val="006B7D2D"/>
    <w:rsid w:val="006C1513"/>
    <w:rsid w:val="006C2334"/>
    <w:rsid w:val="006C4784"/>
    <w:rsid w:val="006F4CDC"/>
    <w:rsid w:val="006F6FB3"/>
    <w:rsid w:val="006F75DF"/>
    <w:rsid w:val="00704F0B"/>
    <w:rsid w:val="00732EA2"/>
    <w:rsid w:val="00743F56"/>
    <w:rsid w:val="007446FC"/>
    <w:rsid w:val="00747DA9"/>
    <w:rsid w:val="00756FEC"/>
    <w:rsid w:val="00761E23"/>
    <w:rsid w:val="00765D86"/>
    <w:rsid w:val="007673EC"/>
    <w:rsid w:val="0077089F"/>
    <w:rsid w:val="00770CC3"/>
    <w:rsid w:val="007728D6"/>
    <w:rsid w:val="00773AC1"/>
    <w:rsid w:val="0077500E"/>
    <w:rsid w:val="00777EA1"/>
    <w:rsid w:val="00780554"/>
    <w:rsid w:val="00781066"/>
    <w:rsid w:val="0078113C"/>
    <w:rsid w:val="00782C7B"/>
    <w:rsid w:val="00783FCD"/>
    <w:rsid w:val="00785E0E"/>
    <w:rsid w:val="00786267"/>
    <w:rsid w:val="00796058"/>
    <w:rsid w:val="007A2405"/>
    <w:rsid w:val="007A24CA"/>
    <w:rsid w:val="007A488B"/>
    <w:rsid w:val="007B3638"/>
    <w:rsid w:val="007C2BCE"/>
    <w:rsid w:val="007C6CE7"/>
    <w:rsid w:val="007C775A"/>
    <w:rsid w:val="007D62B7"/>
    <w:rsid w:val="007D7506"/>
    <w:rsid w:val="007E1577"/>
    <w:rsid w:val="007E34E8"/>
    <w:rsid w:val="007E3D78"/>
    <w:rsid w:val="007E5505"/>
    <w:rsid w:val="007E5FD9"/>
    <w:rsid w:val="007F40EE"/>
    <w:rsid w:val="008010FB"/>
    <w:rsid w:val="00803C17"/>
    <w:rsid w:val="008106CF"/>
    <w:rsid w:val="008156D7"/>
    <w:rsid w:val="008253BD"/>
    <w:rsid w:val="008265B5"/>
    <w:rsid w:val="00827DAD"/>
    <w:rsid w:val="00836789"/>
    <w:rsid w:val="008423D5"/>
    <w:rsid w:val="00846993"/>
    <w:rsid w:val="00856948"/>
    <w:rsid w:val="008611D8"/>
    <w:rsid w:val="00867A1C"/>
    <w:rsid w:val="00870F3A"/>
    <w:rsid w:val="00873F3C"/>
    <w:rsid w:val="00876885"/>
    <w:rsid w:val="0088354F"/>
    <w:rsid w:val="00883E89"/>
    <w:rsid w:val="00885C46"/>
    <w:rsid w:val="0089084B"/>
    <w:rsid w:val="00890892"/>
    <w:rsid w:val="008917F6"/>
    <w:rsid w:val="00892224"/>
    <w:rsid w:val="008A4220"/>
    <w:rsid w:val="008A4D64"/>
    <w:rsid w:val="008B662C"/>
    <w:rsid w:val="008C305E"/>
    <w:rsid w:val="008D51F1"/>
    <w:rsid w:val="008D6450"/>
    <w:rsid w:val="008E02A0"/>
    <w:rsid w:val="008E0B76"/>
    <w:rsid w:val="008E23D4"/>
    <w:rsid w:val="008E6609"/>
    <w:rsid w:val="008F0DB8"/>
    <w:rsid w:val="008F5E1B"/>
    <w:rsid w:val="008F76C0"/>
    <w:rsid w:val="009020A2"/>
    <w:rsid w:val="00904D71"/>
    <w:rsid w:val="00905664"/>
    <w:rsid w:val="00905D7B"/>
    <w:rsid w:val="0091645A"/>
    <w:rsid w:val="00921AB5"/>
    <w:rsid w:val="0092704D"/>
    <w:rsid w:val="00944BD9"/>
    <w:rsid w:val="00956E34"/>
    <w:rsid w:val="0096511D"/>
    <w:rsid w:val="0097139C"/>
    <w:rsid w:val="00973B8D"/>
    <w:rsid w:val="00974897"/>
    <w:rsid w:val="00974EA3"/>
    <w:rsid w:val="0098752A"/>
    <w:rsid w:val="00990A31"/>
    <w:rsid w:val="00993065"/>
    <w:rsid w:val="009940DE"/>
    <w:rsid w:val="009B2C87"/>
    <w:rsid w:val="009B4447"/>
    <w:rsid w:val="009C3320"/>
    <w:rsid w:val="009C5453"/>
    <w:rsid w:val="009D03DA"/>
    <w:rsid w:val="009D10C2"/>
    <w:rsid w:val="009D25BA"/>
    <w:rsid w:val="009D26BC"/>
    <w:rsid w:val="009D49A1"/>
    <w:rsid w:val="009E0100"/>
    <w:rsid w:val="009E5965"/>
    <w:rsid w:val="009E7E15"/>
    <w:rsid w:val="009F7625"/>
    <w:rsid w:val="009F791D"/>
    <w:rsid w:val="00A02FD0"/>
    <w:rsid w:val="00A07B9B"/>
    <w:rsid w:val="00A1572E"/>
    <w:rsid w:val="00A26477"/>
    <w:rsid w:val="00A34378"/>
    <w:rsid w:val="00A35CD7"/>
    <w:rsid w:val="00A36341"/>
    <w:rsid w:val="00A44522"/>
    <w:rsid w:val="00A62B8C"/>
    <w:rsid w:val="00A777B8"/>
    <w:rsid w:val="00A84746"/>
    <w:rsid w:val="00A84781"/>
    <w:rsid w:val="00A84EB1"/>
    <w:rsid w:val="00A85BA7"/>
    <w:rsid w:val="00A974B6"/>
    <w:rsid w:val="00A97D92"/>
    <w:rsid w:val="00AB48E9"/>
    <w:rsid w:val="00AC1146"/>
    <w:rsid w:val="00AD2F6C"/>
    <w:rsid w:val="00AD5489"/>
    <w:rsid w:val="00AD7378"/>
    <w:rsid w:val="00AE143C"/>
    <w:rsid w:val="00AF1C88"/>
    <w:rsid w:val="00AF25FD"/>
    <w:rsid w:val="00AF3DF4"/>
    <w:rsid w:val="00B00880"/>
    <w:rsid w:val="00B0331D"/>
    <w:rsid w:val="00B11B0A"/>
    <w:rsid w:val="00B11B81"/>
    <w:rsid w:val="00B160EC"/>
    <w:rsid w:val="00B22206"/>
    <w:rsid w:val="00B25FCD"/>
    <w:rsid w:val="00B35059"/>
    <w:rsid w:val="00B40AED"/>
    <w:rsid w:val="00B5113A"/>
    <w:rsid w:val="00B55CB6"/>
    <w:rsid w:val="00B60241"/>
    <w:rsid w:val="00B60C6F"/>
    <w:rsid w:val="00B62C1E"/>
    <w:rsid w:val="00B64CBA"/>
    <w:rsid w:val="00B72268"/>
    <w:rsid w:val="00B77824"/>
    <w:rsid w:val="00B80017"/>
    <w:rsid w:val="00B81DFA"/>
    <w:rsid w:val="00B844D4"/>
    <w:rsid w:val="00B94558"/>
    <w:rsid w:val="00B94D4B"/>
    <w:rsid w:val="00BA259A"/>
    <w:rsid w:val="00BA45CA"/>
    <w:rsid w:val="00BB6AC8"/>
    <w:rsid w:val="00BD1250"/>
    <w:rsid w:val="00BE310F"/>
    <w:rsid w:val="00BF1FC4"/>
    <w:rsid w:val="00BF4EB2"/>
    <w:rsid w:val="00C03B1C"/>
    <w:rsid w:val="00C06444"/>
    <w:rsid w:val="00C1230B"/>
    <w:rsid w:val="00C27F39"/>
    <w:rsid w:val="00C3746C"/>
    <w:rsid w:val="00C46B68"/>
    <w:rsid w:val="00C47750"/>
    <w:rsid w:val="00C54DEC"/>
    <w:rsid w:val="00C64792"/>
    <w:rsid w:val="00C74067"/>
    <w:rsid w:val="00C76475"/>
    <w:rsid w:val="00C776B0"/>
    <w:rsid w:val="00C853E0"/>
    <w:rsid w:val="00C85519"/>
    <w:rsid w:val="00C86D24"/>
    <w:rsid w:val="00C938F2"/>
    <w:rsid w:val="00C93FCB"/>
    <w:rsid w:val="00C9609B"/>
    <w:rsid w:val="00CA072B"/>
    <w:rsid w:val="00CB013C"/>
    <w:rsid w:val="00CC24CC"/>
    <w:rsid w:val="00CD10EC"/>
    <w:rsid w:val="00CD5634"/>
    <w:rsid w:val="00CE1445"/>
    <w:rsid w:val="00CF19AD"/>
    <w:rsid w:val="00CF2D65"/>
    <w:rsid w:val="00CF3A61"/>
    <w:rsid w:val="00D259F5"/>
    <w:rsid w:val="00D27E69"/>
    <w:rsid w:val="00D31D92"/>
    <w:rsid w:val="00D5151A"/>
    <w:rsid w:val="00D51F26"/>
    <w:rsid w:val="00D52B56"/>
    <w:rsid w:val="00D55E8D"/>
    <w:rsid w:val="00D674D0"/>
    <w:rsid w:val="00D81681"/>
    <w:rsid w:val="00D82289"/>
    <w:rsid w:val="00D8351A"/>
    <w:rsid w:val="00D84921"/>
    <w:rsid w:val="00D90AC1"/>
    <w:rsid w:val="00D964F2"/>
    <w:rsid w:val="00DA5967"/>
    <w:rsid w:val="00DB00A0"/>
    <w:rsid w:val="00DB30F2"/>
    <w:rsid w:val="00DB67EC"/>
    <w:rsid w:val="00DC1134"/>
    <w:rsid w:val="00DC4006"/>
    <w:rsid w:val="00DC4D25"/>
    <w:rsid w:val="00DD58C1"/>
    <w:rsid w:val="00DD6A54"/>
    <w:rsid w:val="00DE0B55"/>
    <w:rsid w:val="00DE3485"/>
    <w:rsid w:val="00DE5915"/>
    <w:rsid w:val="00DF380B"/>
    <w:rsid w:val="00DF68F2"/>
    <w:rsid w:val="00E04673"/>
    <w:rsid w:val="00E10773"/>
    <w:rsid w:val="00E25876"/>
    <w:rsid w:val="00E42EF7"/>
    <w:rsid w:val="00E50B8D"/>
    <w:rsid w:val="00E51222"/>
    <w:rsid w:val="00E52513"/>
    <w:rsid w:val="00E53130"/>
    <w:rsid w:val="00E53B6C"/>
    <w:rsid w:val="00E54EDE"/>
    <w:rsid w:val="00E61FE9"/>
    <w:rsid w:val="00E64174"/>
    <w:rsid w:val="00E737F4"/>
    <w:rsid w:val="00E75A3E"/>
    <w:rsid w:val="00E850DD"/>
    <w:rsid w:val="00E85408"/>
    <w:rsid w:val="00E9167D"/>
    <w:rsid w:val="00E95242"/>
    <w:rsid w:val="00E9577D"/>
    <w:rsid w:val="00EB522A"/>
    <w:rsid w:val="00EC3E51"/>
    <w:rsid w:val="00ED0009"/>
    <w:rsid w:val="00ED192B"/>
    <w:rsid w:val="00ED2447"/>
    <w:rsid w:val="00ED3AFD"/>
    <w:rsid w:val="00EE1193"/>
    <w:rsid w:val="00EE5630"/>
    <w:rsid w:val="00EE744E"/>
    <w:rsid w:val="00EF5CD5"/>
    <w:rsid w:val="00EF7C24"/>
    <w:rsid w:val="00F026E5"/>
    <w:rsid w:val="00F07989"/>
    <w:rsid w:val="00F13CC0"/>
    <w:rsid w:val="00F23388"/>
    <w:rsid w:val="00F241E9"/>
    <w:rsid w:val="00F3123A"/>
    <w:rsid w:val="00F37F9B"/>
    <w:rsid w:val="00F466DC"/>
    <w:rsid w:val="00F51AFC"/>
    <w:rsid w:val="00F54967"/>
    <w:rsid w:val="00F6105E"/>
    <w:rsid w:val="00F639AA"/>
    <w:rsid w:val="00F6508D"/>
    <w:rsid w:val="00F67CBC"/>
    <w:rsid w:val="00F70322"/>
    <w:rsid w:val="00F77D96"/>
    <w:rsid w:val="00F84C0D"/>
    <w:rsid w:val="00F85596"/>
    <w:rsid w:val="00F93583"/>
    <w:rsid w:val="00F94F3E"/>
    <w:rsid w:val="00FA1D94"/>
    <w:rsid w:val="00FB0B48"/>
    <w:rsid w:val="00FB714B"/>
    <w:rsid w:val="00FC3410"/>
    <w:rsid w:val="00FC3E12"/>
    <w:rsid w:val="00FC7C66"/>
    <w:rsid w:val="00FD377B"/>
    <w:rsid w:val="00FD6DC2"/>
    <w:rsid w:val="00FE5A90"/>
    <w:rsid w:val="00FE61F5"/>
    <w:rsid w:val="00FF4539"/>
    <w:rsid w:val="00FF7219"/>
    <w:rsid w:val="01AB47D5"/>
    <w:rsid w:val="0E9F08B6"/>
    <w:rsid w:val="0F380715"/>
    <w:rsid w:val="16C11714"/>
    <w:rsid w:val="1D0B43B2"/>
    <w:rsid w:val="261C5F31"/>
    <w:rsid w:val="2AF226A6"/>
    <w:rsid w:val="2D300BDA"/>
    <w:rsid w:val="31C651E8"/>
    <w:rsid w:val="3AFA694F"/>
    <w:rsid w:val="3D446170"/>
    <w:rsid w:val="3F2301EA"/>
    <w:rsid w:val="42BF46CD"/>
    <w:rsid w:val="43EC504E"/>
    <w:rsid w:val="44B11B13"/>
    <w:rsid w:val="581D002F"/>
    <w:rsid w:val="58F40B52"/>
    <w:rsid w:val="5F14644B"/>
    <w:rsid w:val="605E4932"/>
    <w:rsid w:val="6397692D"/>
    <w:rsid w:val="664E34EF"/>
    <w:rsid w:val="6DFD8ECE"/>
    <w:rsid w:val="6E4678CD"/>
    <w:rsid w:val="745016F8"/>
    <w:rsid w:val="7B6C6499"/>
    <w:rsid w:val="7FFB67EB"/>
    <w:rsid w:val="F6BEA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40" w:lineRule="atLeast"/>
      <w:jc w:val="both"/>
    </w:pPr>
    <w:rPr>
      <w:rFonts w:ascii="Calibri" w:hAnsi="Calibri" w:eastAsia="仿宋_GB2312" w:cs="Times New Roman"/>
      <w:spacing w:val="-6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156" w:after="156"/>
      <w:jc w:val="center"/>
      <w:outlineLvl w:val="0"/>
    </w:pPr>
    <w:rPr>
      <w:rFonts w:ascii="华文新魏" w:eastAsia="华文新魏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keepNext/>
      <w:keepLines/>
      <w:jc w:val="center"/>
      <w:outlineLvl w:val="1"/>
    </w:pPr>
    <w:rPr>
      <w:rFonts w:eastAsia="黑体" w:asciiTheme="majorHAnsi" w:hAnsiTheme="majorHAnsi" w:cstheme="majorBidi"/>
      <w:b/>
      <w:bCs/>
      <w:szCs w:val="32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jc w:val="center"/>
      <w:outlineLvl w:val="2"/>
    </w:pPr>
    <w:rPr>
      <w:rFonts w:eastAsia="黑体"/>
      <w:b/>
      <w:bCs/>
      <w:sz w:val="30"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jc w:val="center"/>
      <w:outlineLvl w:val="3"/>
    </w:pPr>
    <w:rPr>
      <w:rFonts w:eastAsia="黑体" w:asciiTheme="majorHAnsi" w:hAnsiTheme="majorHAnsi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1"/>
    <w:unhideWhenUsed/>
    <w:qFormat/>
    <w:uiPriority w:val="9"/>
    <w:pPr>
      <w:keepNext/>
      <w:keepLines/>
      <w:ind w:left="480"/>
      <w:outlineLvl w:val="4"/>
    </w:pPr>
    <w:rPr>
      <w:rFonts w:ascii="宋体" w:hAnsi="宋体" w:eastAsia="华文中宋"/>
      <w:b/>
      <w:bCs/>
      <w:sz w:val="24"/>
      <w:szCs w:val="28"/>
    </w:rPr>
  </w:style>
  <w:style w:type="paragraph" w:styleId="7">
    <w:name w:val="heading 6"/>
    <w:basedOn w:val="1"/>
    <w:next w:val="1"/>
    <w:link w:val="7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7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7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7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3">
    <w:name w:val="Default Paragraph Font"/>
    <w:unhideWhenUsed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0"/>
    <w:rPr>
      <w:rFonts w:eastAsia="华文中宋" w:asciiTheme="majorHAnsi" w:hAnsiTheme="majorHAnsi" w:cstheme="majorBidi"/>
    </w:rPr>
  </w:style>
  <w:style w:type="paragraph" w:styleId="12">
    <w:name w:val="annotation text"/>
    <w:basedOn w:val="1"/>
    <w:link w:val="89"/>
    <w:semiHidden/>
    <w:unhideWhenUsed/>
    <w:qFormat/>
    <w:uiPriority w:val="99"/>
    <w:pPr>
      <w:jc w:val="left"/>
    </w:pPr>
  </w:style>
  <w:style w:type="paragraph" w:styleId="13">
    <w:name w:val="Body Text"/>
    <w:basedOn w:val="1"/>
    <w:next w:val="14"/>
    <w:link w:val="87"/>
    <w:unhideWhenUsed/>
    <w:qFormat/>
    <w:uiPriority w:val="0"/>
    <w:pPr>
      <w:spacing w:line="240" w:lineRule="auto"/>
    </w:pPr>
    <w:rPr>
      <w:rFonts w:hint="eastAsia" w:ascii="华文新魏" w:hAnsi="Times New Roman" w:eastAsia="华文新魏"/>
      <w:spacing w:val="0"/>
      <w:kern w:val="0"/>
      <w:sz w:val="36"/>
      <w:szCs w:val="24"/>
    </w:rPr>
  </w:style>
  <w:style w:type="paragraph" w:customStyle="1" w:styleId="14">
    <w:name w:val="目录 11"/>
    <w:next w:val="1"/>
    <w:qFormat/>
    <w:uiPriority w:val="0"/>
    <w:pPr>
      <w:wordWrap w:val="0"/>
      <w:spacing w:after="160" w:line="278" w:lineRule="auto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15">
    <w:name w:val="footer"/>
    <w:basedOn w:val="1"/>
    <w:link w:val="7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8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Subtitle"/>
    <w:basedOn w:val="1"/>
    <w:next w:val="1"/>
    <w:link w:val="7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footnote text"/>
    <w:basedOn w:val="1"/>
    <w:link w:val="67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9">
    <w:name w:val="Normal (Web)"/>
    <w:qFormat/>
    <w:uiPriority w:val="99"/>
    <w:pPr>
      <w:widowControl w:val="0"/>
      <w:spacing w:beforeAutospacing="1" w:after="160" w:afterAutospacing="1" w:line="278" w:lineRule="auto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20">
    <w:name w:val="Title"/>
    <w:basedOn w:val="1"/>
    <w:next w:val="1"/>
    <w:link w:val="7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1">
    <w:name w:val="annotation subject"/>
    <w:basedOn w:val="12"/>
    <w:next w:val="12"/>
    <w:link w:val="90"/>
    <w:semiHidden/>
    <w:unhideWhenUsed/>
    <w:qFormat/>
    <w:uiPriority w:val="99"/>
    <w:rPr>
      <w:b/>
      <w:bCs/>
    </w:rPr>
  </w:style>
  <w:style w:type="character" w:styleId="24">
    <w:name w:val="Strong"/>
    <w:qFormat/>
    <w:uiPriority w:val="22"/>
    <w:rPr>
      <w:b/>
    </w:rPr>
  </w:style>
  <w:style w:type="character" w:styleId="25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styleId="26">
    <w:name w:val="footnote reference"/>
    <w:basedOn w:val="23"/>
    <w:semiHidden/>
    <w:unhideWhenUsed/>
    <w:qFormat/>
    <w:uiPriority w:val="99"/>
    <w:rPr>
      <w:vertAlign w:val="superscript"/>
    </w:rPr>
  </w:style>
  <w:style w:type="character" w:customStyle="1" w:styleId="27">
    <w:name w:val="标题 1 字符"/>
    <w:basedOn w:val="23"/>
    <w:link w:val="2"/>
    <w:qFormat/>
    <w:uiPriority w:val="9"/>
    <w:rPr>
      <w:rFonts w:ascii="华文新魏" w:eastAsia="华文新魏"/>
      <w:b/>
      <w:bCs/>
      <w:kern w:val="44"/>
      <w:sz w:val="44"/>
      <w:szCs w:val="44"/>
    </w:rPr>
  </w:style>
  <w:style w:type="character" w:customStyle="1" w:styleId="28">
    <w:name w:val="标题 2 字符"/>
    <w:basedOn w:val="23"/>
    <w:link w:val="3"/>
    <w:qFormat/>
    <w:uiPriority w:val="9"/>
    <w:rPr>
      <w:rFonts w:eastAsia="黑体" w:asciiTheme="majorHAnsi" w:hAnsiTheme="majorHAnsi" w:cstheme="majorBidi"/>
      <w:b/>
      <w:bCs/>
      <w:sz w:val="32"/>
      <w:szCs w:val="32"/>
    </w:rPr>
  </w:style>
  <w:style w:type="character" w:customStyle="1" w:styleId="29">
    <w:name w:val="标题 3 字符"/>
    <w:basedOn w:val="23"/>
    <w:link w:val="4"/>
    <w:qFormat/>
    <w:uiPriority w:val="9"/>
    <w:rPr>
      <w:rFonts w:eastAsia="黑体"/>
      <w:b/>
      <w:bCs/>
      <w:sz w:val="30"/>
      <w:szCs w:val="32"/>
    </w:rPr>
  </w:style>
  <w:style w:type="character" w:customStyle="1" w:styleId="30">
    <w:name w:val="标题 4 字符"/>
    <w:basedOn w:val="23"/>
    <w:link w:val="5"/>
    <w:qFormat/>
    <w:uiPriority w:val="9"/>
    <w:rPr>
      <w:rFonts w:eastAsia="黑体" w:asciiTheme="majorHAnsi" w:hAnsiTheme="majorHAnsi" w:cstheme="majorBidi"/>
      <w:b/>
      <w:bCs/>
      <w:sz w:val="28"/>
      <w:szCs w:val="28"/>
    </w:rPr>
  </w:style>
  <w:style w:type="character" w:customStyle="1" w:styleId="31">
    <w:name w:val="标题 5 字符"/>
    <w:basedOn w:val="23"/>
    <w:link w:val="6"/>
    <w:qFormat/>
    <w:uiPriority w:val="9"/>
    <w:rPr>
      <w:rFonts w:ascii="宋体" w:hAnsi="宋体" w:eastAsia="华文中宋"/>
      <w:b/>
      <w:bCs/>
      <w:sz w:val="24"/>
      <w:szCs w:val="28"/>
    </w:rPr>
  </w:style>
  <w:style w:type="paragraph" w:customStyle="1" w:styleId="32">
    <w:name w:val="0-内容"/>
    <w:basedOn w:val="1"/>
    <w:link w:val="33"/>
    <w:qFormat/>
    <w:uiPriority w:val="0"/>
    <w:pPr>
      <w:tabs>
        <w:tab w:val="left" w:pos="2268"/>
      </w:tabs>
      <w:spacing w:line="560" w:lineRule="exact"/>
      <w:ind w:firstLine="200" w:firstLineChars="200"/>
    </w:pPr>
    <w:rPr>
      <w:rFonts w:ascii="仿宋_GB2312" w:hAnsi="仿宋_GB2312" w:cs="仿宋_GB2312"/>
      <w:szCs w:val="28"/>
    </w:rPr>
  </w:style>
  <w:style w:type="character" w:customStyle="1" w:styleId="33">
    <w:name w:val="0-内容 字符"/>
    <w:basedOn w:val="23"/>
    <w:link w:val="32"/>
    <w:qFormat/>
    <w:uiPriority w:val="0"/>
    <w:rPr>
      <w:rFonts w:ascii="仿宋_GB2312" w:hAnsi="仿宋_GB2312" w:eastAsia="仿宋_GB2312" w:cs="仿宋_GB2312"/>
      <w:spacing w:val="-6"/>
      <w:sz w:val="32"/>
      <w:szCs w:val="28"/>
    </w:rPr>
  </w:style>
  <w:style w:type="paragraph" w:customStyle="1" w:styleId="34">
    <w:name w:val="法条"/>
    <w:basedOn w:val="32"/>
    <w:link w:val="35"/>
    <w:qFormat/>
    <w:uiPriority w:val="0"/>
    <w:pPr>
      <w:pBdr>
        <w:top w:val="double" w:color="auto" w:sz="4" w:space="1"/>
        <w:left w:val="double" w:color="auto" w:sz="4" w:space="4"/>
        <w:bottom w:val="double" w:color="auto" w:sz="4" w:space="1"/>
        <w:right w:val="double" w:color="auto" w:sz="4" w:space="4"/>
      </w:pBdr>
      <w:ind w:left="420" w:leftChars="200" w:right="630" w:rightChars="300"/>
    </w:pPr>
    <w:rPr>
      <w:rFonts w:eastAsia="楷体"/>
    </w:rPr>
  </w:style>
  <w:style w:type="character" w:customStyle="1" w:styleId="35">
    <w:name w:val="法条 字符"/>
    <w:basedOn w:val="33"/>
    <w:link w:val="34"/>
    <w:qFormat/>
    <w:uiPriority w:val="0"/>
    <w:rPr>
      <w:rFonts w:ascii="Times New Roman" w:hAnsi="Times New Roman" w:eastAsia="楷体" w:cs="仿宋_GB2312"/>
      <w:spacing w:val="-6"/>
      <w:sz w:val="32"/>
      <w:szCs w:val="24"/>
    </w:rPr>
  </w:style>
  <w:style w:type="paragraph" w:customStyle="1" w:styleId="36">
    <w:name w:val="总-分"/>
    <w:basedOn w:val="32"/>
    <w:link w:val="37"/>
    <w:qFormat/>
    <w:uiPriority w:val="0"/>
    <w:pPr>
      <w:pBdr>
        <w:top w:val="dotDash" w:color="auto" w:sz="12" w:space="1"/>
        <w:left w:val="dotDash" w:color="auto" w:sz="12" w:space="4"/>
        <w:bottom w:val="dotDash" w:color="auto" w:sz="12" w:space="1"/>
        <w:right w:val="dotDash" w:color="auto" w:sz="12" w:space="4"/>
      </w:pBdr>
      <w:ind w:firstLine="0" w:firstLineChars="0"/>
    </w:pPr>
  </w:style>
  <w:style w:type="character" w:customStyle="1" w:styleId="37">
    <w:name w:val="总-分 字符"/>
    <w:basedOn w:val="33"/>
    <w:link w:val="36"/>
    <w:qFormat/>
    <w:uiPriority w:val="0"/>
    <w:rPr>
      <w:rFonts w:ascii="Times New Roman" w:hAnsi="Times New Roman" w:eastAsia="仿宋" w:cs="仿宋_GB2312"/>
      <w:spacing w:val="-6"/>
      <w:sz w:val="32"/>
      <w:szCs w:val="24"/>
    </w:rPr>
  </w:style>
  <w:style w:type="paragraph" w:customStyle="1" w:styleId="38">
    <w:name w:val="款"/>
    <w:basedOn w:val="32"/>
    <w:next w:val="32"/>
    <w:link w:val="39"/>
    <w:qFormat/>
    <w:uiPriority w:val="0"/>
    <w:pPr>
      <w:ind w:firstLine="422"/>
    </w:pPr>
    <w:rPr>
      <w:b/>
      <w:bCs/>
    </w:rPr>
  </w:style>
  <w:style w:type="character" w:customStyle="1" w:styleId="39">
    <w:name w:val="款 字符"/>
    <w:basedOn w:val="33"/>
    <w:link w:val="38"/>
    <w:qFormat/>
    <w:uiPriority w:val="0"/>
    <w:rPr>
      <w:rFonts w:ascii="Times New Roman" w:hAnsi="Times New Roman" w:eastAsia="仿宋" w:cs="仿宋_GB2312"/>
      <w:b/>
      <w:bCs/>
      <w:spacing w:val="-6"/>
      <w:sz w:val="32"/>
      <w:szCs w:val="24"/>
    </w:rPr>
  </w:style>
  <w:style w:type="paragraph" w:customStyle="1" w:styleId="40">
    <w:name w:val="6-款"/>
    <w:basedOn w:val="32"/>
    <w:next w:val="32"/>
    <w:link w:val="41"/>
    <w:qFormat/>
    <w:uiPriority w:val="0"/>
    <w:pPr>
      <w:outlineLvl w:val="5"/>
    </w:pPr>
    <w:rPr>
      <w:b/>
    </w:rPr>
  </w:style>
  <w:style w:type="character" w:customStyle="1" w:styleId="41">
    <w:name w:val="6-款 字符"/>
    <w:basedOn w:val="33"/>
    <w:link w:val="40"/>
    <w:qFormat/>
    <w:uiPriority w:val="0"/>
    <w:rPr>
      <w:rFonts w:ascii="Times New Roman" w:hAnsi="Times New Roman" w:eastAsia="仿宋" w:cs="仿宋_GB2312"/>
      <w:b/>
      <w:spacing w:val="-6"/>
      <w:sz w:val="32"/>
      <w:szCs w:val="28"/>
    </w:rPr>
  </w:style>
  <w:style w:type="paragraph" w:customStyle="1" w:styleId="42">
    <w:name w:val="7-项"/>
    <w:basedOn w:val="32"/>
    <w:next w:val="32"/>
    <w:qFormat/>
    <w:uiPriority w:val="0"/>
    <w:pPr>
      <w:outlineLvl w:val="6"/>
    </w:pPr>
    <w:rPr>
      <w:b/>
      <w:bCs/>
    </w:rPr>
  </w:style>
  <w:style w:type="paragraph" w:customStyle="1" w:styleId="43">
    <w:name w:val="一级标题"/>
    <w:basedOn w:val="32"/>
    <w:link w:val="44"/>
    <w:qFormat/>
    <w:uiPriority w:val="0"/>
    <w:pPr>
      <w:outlineLvl w:val="0"/>
    </w:pPr>
    <w:rPr>
      <w:rFonts w:eastAsia="黑体" w:cs="Times New Roman"/>
      <w:bCs/>
      <w:kern w:val="44"/>
      <w:szCs w:val="32"/>
    </w:rPr>
  </w:style>
  <w:style w:type="character" w:customStyle="1" w:styleId="44">
    <w:name w:val="一级标题 字符"/>
    <w:basedOn w:val="33"/>
    <w:link w:val="43"/>
    <w:qFormat/>
    <w:uiPriority w:val="0"/>
    <w:rPr>
      <w:rFonts w:ascii="Times New Roman" w:hAnsi="Times New Roman" w:eastAsia="黑体" w:cs="Times New Roman"/>
      <w:bCs/>
      <w:spacing w:val="-6"/>
      <w:kern w:val="44"/>
      <w:sz w:val="32"/>
      <w:szCs w:val="32"/>
    </w:rPr>
  </w:style>
  <w:style w:type="paragraph" w:customStyle="1" w:styleId="45">
    <w:name w:val="二级标题"/>
    <w:next w:val="32"/>
    <w:link w:val="46"/>
    <w:qFormat/>
    <w:uiPriority w:val="0"/>
    <w:pPr>
      <w:spacing w:after="160" w:line="360" w:lineRule="auto"/>
      <w:ind w:firstLine="200" w:firstLineChars="200"/>
      <w:outlineLvl w:val="1"/>
    </w:pPr>
    <w:rPr>
      <w:rFonts w:ascii="Times New Roman" w:hAnsi="Times New Roman" w:eastAsia="楷体" w:cs="Times New Roman"/>
      <w:b/>
      <w:bCs/>
      <w:kern w:val="2"/>
      <w:sz w:val="32"/>
      <w:szCs w:val="24"/>
      <w:lang w:val="en-US" w:eastAsia="zh-CN" w:bidi="ar-SA"/>
    </w:rPr>
  </w:style>
  <w:style w:type="character" w:customStyle="1" w:styleId="46">
    <w:name w:val="二级标题 字符"/>
    <w:basedOn w:val="23"/>
    <w:link w:val="45"/>
    <w:qFormat/>
    <w:uiPriority w:val="0"/>
    <w:rPr>
      <w:rFonts w:ascii="Times New Roman" w:hAnsi="Times New Roman" w:eastAsia="楷体" w:cs="Times New Roman"/>
      <w:b/>
      <w:bCs/>
      <w:sz w:val="32"/>
      <w:szCs w:val="24"/>
    </w:rPr>
  </w:style>
  <w:style w:type="paragraph" w:customStyle="1" w:styleId="47">
    <w:name w:val="三级标题"/>
    <w:next w:val="32"/>
    <w:link w:val="48"/>
    <w:qFormat/>
    <w:uiPriority w:val="0"/>
    <w:pPr>
      <w:spacing w:after="160" w:line="278" w:lineRule="auto"/>
      <w:ind w:firstLine="200" w:firstLineChars="200"/>
      <w:outlineLvl w:val="2"/>
    </w:pPr>
    <w:rPr>
      <w:rFonts w:ascii="Times New Roman" w:hAnsi="Times New Roman" w:eastAsia="仿宋" w:cs="Times New Roman"/>
      <w:b/>
      <w:kern w:val="2"/>
      <w:sz w:val="32"/>
      <w:szCs w:val="28"/>
      <w:lang w:val="en-US" w:eastAsia="zh-CN" w:bidi="ar-SA"/>
    </w:rPr>
  </w:style>
  <w:style w:type="character" w:customStyle="1" w:styleId="48">
    <w:name w:val="三级标题 字符"/>
    <w:basedOn w:val="23"/>
    <w:link w:val="47"/>
    <w:qFormat/>
    <w:uiPriority w:val="0"/>
    <w:rPr>
      <w:rFonts w:ascii="Times New Roman" w:hAnsi="Times New Roman" w:eastAsia="仿宋" w:cs="Times New Roman"/>
      <w:b/>
      <w:sz w:val="32"/>
      <w:szCs w:val="28"/>
    </w:rPr>
  </w:style>
  <w:style w:type="paragraph" w:customStyle="1" w:styleId="49">
    <w:name w:val="2二级标题"/>
    <w:next w:val="50"/>
    <w:link w:val="51"/>
    <w:qFormat/>
    <w:uiPriority w:val="0"/>
    <w:pPr>
      <w:spacing w:after="160" w:line="560" w:lineRule="exact"/>
      <w:ind w:firstLine="200" w:firstLineChars="200"/>
      <w:jc w:val="both"/>
      <w:outlineLvl w:val="1"/>
    </w:pPr>
    <w:rPr>
      <w:rFonts w:ascii="Times New Roman" w:hAnsi="Times New Roman" w:eastAsia="楷体_GB2312" w:cs="Times New Roman"/>
      <w:bCs/>
      <w:kern w:val="2"/>
      <w:sz w:val="32"/>
      <w:szCs w:val="24"/>
      <w:lang w:val="en-US" w:eastAsia="zh-CN" w:bidi="ar-SA"/>
    </w:rPr>
  </w:style>
  <w:style w:type="paragraph" w:customStyle="1" w:styleId="50">
    <w:name w:val="3三级标题"/>
    <w:next w:val="32"/>
    <w:link w:val="52"/>
    <w:qFormat/>
    <w:uiPriority w:val="0"/>
    <w:pPr>
      <w:spacing w:after="160" w:line="278" w:lineRule="auto"/>
      <w:ind w:firstLine="200" w:firstLineChars="200"/>
      <w:outlineLvl w:val="2"/>
    </w:pPr>
    <w:rPr>
      <w:rFonts w:ascii="Times New Roman" w:hAnsi="Times New Roman" w:eastAsia="仿宋" w:cs="Times New Roman"/>
      <w:b/>
      <w:kern w:val="2"/>
      <w:sz w:val="32"/>
      <w:szCs w:val="28"/>
      <w:lang w:val="en-US" w:eastAsia="zh-CN" w:bidi="ar-SA"/>
    </w:rPr>
  </w:style>
  <w:style w:type="character" w:customStyle="1" w:styleId="51">
    <w:name w:val="2二级标题 字符"/>
    <w:basedOn w:val="23"/>
    <w:link w:val="49"/>
    <w:qFormat/>
    <w:uiPriority w:val="0"/>
    <w:rPr>
      <w:rFonts w:ascii="Times New Roman" w:hAnsi="Times New Roman" w:eastAsia="楷体_GB2312" w:cs="Times New Roman"/>
      <w:bCs/>
      <w:sz w:val="32"/>
      <w:szCs w:val="24"/>
    </w:rPr>
  </w:style>
  <w:style w:type="character" w:customStyle="1" w:styleId="52">
    <w:name w:val="3三级标题 字符"/>
    <w:basedOn w:val="23"/>
    <w:link w:val="50"/>
    <w:qFormat/>
    <w:uiPriority w:val="0"/>
    <w:rPr>
      <w:rFonts w:ascii="Times New Roman" w:hAnsi="Times New Roman" w:eastAsia="仿宋" w:cs="Times New Roman"/>
      <w:b/>
      <w:sz w:val="32"/>
      <w:szCs w:val="28"/>
    </w:rPr>
  </w:style>
  <w:style w:type="paragraph" w:customStyle="1" w:styleId="53">
    <w:name w:val="1一级标题"/>
    <w:basedOn w:val="32"/>
    <w:next w:val="49"/>
    <w:link w:val="54"/>
    <w:qFormat/>
    <w:uiPriority w:val="0"/>
    <w:pPr>
      <w:outlineLvl w:val="0"/>
    </w:pPr>
    <w:rPr>
      <w:rFonts w:ascii="黑体" w:hAnsi="黑体" w:eastAsia="黑体" w:cs="黑体"/>
      <w:bCs/>
      <w:kern w:val="44"/>
      <w:szCs w:val="32"/>
    </w:rPr>
  </w:style>
  <w:style w:type="character" w:customStyle="1" w:styleId="54">
    <w:name w:val="1一级标题 字符"/>
    <w:basedOn w:val="33"/>
    <w:link w:val="53"/>
    <w:qFormat/>
    <w:uiPriority w:val="0"/>
    <w:rPr>
      <w:rFonts w:ascii="黑体" w:hAnsi="黑体" w:eastAsia="黑体" w:cs="黑体"/>
      <w:bCs/>
      <w:spacing w:val="-6"/>
      <w:kern w:val="44"/>
      <w:sz w:val="32"/>
      <w:szCs w:val="32"/>
    </w:rPr>
  </w:style>
  <w:style w:type="paragraph" w:customStyle="1" w:styleId="55">
    <w:name w:val="1一黑"/>
    <w:basedOn w:val="32"/>
    <w:next w:val="56"/>
    <w:link w:val="58"/>
    <w:qFormat/>
    <w:uiPriority w:val="0"/>
    <w:pPr>
      <w:outlineLvl w:val="0"/>
    </w:pPr>
    <w:rPr>
      <w:rFonts w:eastAsia="黑体" w:cs="Times New Roman"/>
      <w:bCs/>
      <w:kern w:val="44"/>
      <w:szCs w:val="32"/>
    </w:rPr>
  </w:style>
  <w:style w:type="paragraph" w:customStyle="1" w:styleId="56">
    <w:name w:val="2二楷"/>
    <w:next w:val="57"/>
    <w:link w:val="59"/>
    <w:qFormat/>
    <w:uiPriority w:val="0"/>
    <w:pPr>
      <w:spacing w:after="160" w:line="278" w:lineRule="auto"/>
      <w:ind w:firstLine="200" w:firstLineChars="200"/>
      <w:outlineLvl w:val="1"/>
    </w:pPr>
    <w:rPr>
      <w:rFonts w:ascii="Times New Roman" w:hAnsi="Times New Roman" w:eastAsia="楷体" w:cs="Times New Roman"/>
      <w:b/>
      <w:bCs/>
      <w:kern w:val="2"/>
      <w:sz w:val="32"/>
      <w:szCs w:val="24"/>
      <w:lang w:val="en-US" w:eastAsia="zh-CN" w:bidi="ar-SA"/>
    </w:rPr>
  </w:style>
  <w:style w:type="paragraph" w:customStyle="1" w:styleId="57">
    <w:name w:val="3三仿宋"/>
    <w:next w:val="32"/>
    <w:link w:val="60"/>
    <w:qFormat/>
    <w:uiPriority w:val="0"/>
    <w:pPr>
      <w:spacing w:after="160" w:line="278" w:lineRule="auto"/>
      <w:ind w:firstLine="200" w:firstLineChars="200"/>
      <w:outlineLvl w:val="2"/>
    </w:pPr>
    <w:rPr>
      <w:rFonts w:ascii="Times New Roman" w:hAnsi="Times New Roman" w:eastAsia="仿宋" w:cs="Times New Roman"/>
      <w:b/>
      <w:kern w:val="2"/>
      <w:sz w:val="32"/>
      <w:szCs w:val="28"/>
      <w:lang w:val="en-US" w:eastAsia="zh-CN" w:bidi="ar-SA"/>
    </w:rPr>
  </w:style>
  <w:style w:type="character" w:customStyle="1" w:styleId="58">
    <w:name w:val="1一黑 字符"/>
    <w:basedOn w:val="33"/>
    <w:link w:val="55"/>
    <w:qFormat/>
    <w:uiPriority w:val="0"/>
    <w:rPr>
      <w:rFonts w:ascii="Times New Roman" w:hAnsi="Times New Roman" w:eastAsia="黑体" w:cs="Times New Roman"/>
      <w:bCs/>
      <w:spacing w:val="-6"/>
      <w:kern w:val="44"/>
      <w:sz w:val="32"/>
      <w:szCs w:val="32"/>
    </w:rPr>
  </w:style>
  <w:style w:type="character" w:customStyle="1" w:styleId="59">
    <w:name w:val="2二楷 字符"/>
    <w:basedOn w:val="23"/>
    <w:link w:val="56"/>
    <w:qFormat/>
    <w:uiPriority w:val="0"/>
    <w:rPr>
      <w:rFonts w:ascii="Times New Roman" w:hAnsi="Times New Roman" w:eastAsia="楷体" w:cs="Times New Roman"/>
      <w:b/>
      <w:bCs/>
      <w:sz w:val="32"/>
      <w:szCs w:val="24"/>
    </w:rPr>
  </w:style>
  <w:style w:type="character" w:customStyle="1" w:styleId="60">
    <w:name w:val="3三仿宋 字符"/>
    <w:basedOn w:val="23"/>
    <w:link w:val="57"/>
    <w:qFormat/>
    <w:uiPriority w:val="0"/>
    <w:rPr>
      <w:rFonts w:ascii="Times New Roman" w:hAnsi="Times New Roman" w:eastAsia="仿宋" w:cs="Times New Roman"/>
      <w:b/>
      <w:sz w:val="32"/>
      <w:szCs w:val="28"/>
    </w:rPr>
  </w:style>
  <w:style w:type="paragraph" w:customStyle="1" w:styleId="61">
    <w:name w:val="法规正文"/>
    <w:basedOn w:val="1"/>
    <w:link w:val="62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宋体"/>
      <w:kern w:val="0"/>
      <w:szCs w:val="21"/>
    </w:rPr>
  </w:style>
  <w:style w:type="character" w:customStyle="1" w:styleId="62">
    <w:name w:val="法规正文 字符"/>
    <w:basedOn w:val="23"/>
    <w:link w:val="61"/>
    <w:qFormat/>
    <w:uiPriority w:val="0"/>
    <w:rPr>
      <w:rFonts w:ascii="Times New Roman" w:hAnsi="Times New Roman" w:eastAsia="宋体" w:cs="宋体"/>
      <w:kern w:val="0"/>
    </w:rPr>
  </w:style>
  <w:style w:type="paragraph" w:customStyle="1" w:styleId="63">
    <w:name w:val="法规标题"/>
    <w:basedOn w:val="61"/>
    <w:qFormat/>
    <w:uiPriority w:val="0"/>
    <w:pPr>
      <w:ind w:firstLine="0" w:firstLineChars="0"/>
      <w:jc w:val="center"/>
    </w:pPr>
    <w:rPr>
      <w:b/>
      <w:sz w:val="30"/>
    </w:rPr>
  </w:style>
  <w:style w:type="paragraph" w:customStyle="1" w:styleId="64">
    <w:name w:val="法规题注"/>
    <w:basedOn w:val="63"/>
    <w:qFormat/>
    <w:uiPriority w:val="0"/>
    <w:rPr>
      <w:rFonts w:eastAsia="楷体"/>
      <w:b w:val="0"/>
      <w:sz w:val="24"/>
    </w:rPr>
  </w:style>
  <w:style w:type="paragraph" w:customStyle="1" w:styleId="65">
    <w:name w:val="论文-二级标题"/>
    <w:basedOn w:val="32"/>
    <w:next w:val="32"/>
    <w:qFormat/>
    <w:uiPriority w:val="0"/>
    <w:pPr>
      <w:spacing w:line="400" w:lineRule="exact"/>
      <w:ind w:firstLine="0" w:firstLineChars="0"/>
      <w:jc w:val="center"/>
    </w:pPr>
    <w:rPr>
      <w:rFonts w:ascii="黑体" w:hAnsi="黑体" w:eastAsia="黑体"/>
      <w:b/>
      <w:bCs/>
      <w:sz w:val="30"/>
      <w:szCs w:val="30"/>
    </w:rPr>
  </w:style>
  <w:style w:type="paragraph" w:customStyle="1" w:styleId="66">
    <w:name w:val="脚注"/>
    <w:basedOn w:val="18"/>
    <w:qFormat/>
    <w:uiPriority w:val="0"/>
    <w:rPr>
      <w:rFonts w:ascii="Times New Roman" w:hAnsi="Times New Roman" w:eastAsia="宋体"/>
    </w:rPr>
  </w:style>
  <w:style w:type="character" w:customStyle="1" w:styleId="67">
    <w:name w:val="脚注文本 字符"/>
    <w:basedOn w:val="23"/>
    <w:link w:val="18"/>
    <w:semiHidden/>
    <w:qFormat/>
    <w:uiPriority w:val="99"/>
    <w:rPr>
      <w:sz w:val="18"/>
      <w:szCs w:val="18"/>
    </w:rPr>
  </w:style>
  <w:style w:type="paragraph" w:customStyle="1" w:styleId="68">
    <w:name w:val="章标题"/>
    <w:basedOn w:val="32"/>
    <w:next w:val="32"/>
    <w:qFormat/>
    <w:uiPriority w:val="0"/>
    <w:pPr>
      <w:spacing w:before="480" w:after="480"/>
      <w:jc w:val="center"/>
    </w:pPr>
    <w:rPr>
      <w:rFonts w:eastAsia="黑体"/>
      <w:sz w:val="36"/>
    </w:rPr>
  </w:style>
  <w:style w:type="paragraph" w:customStyle="1" w:styleId="69">
    <w:name w:val="-页码-"/>
    <w:basedOn w:val="15"/>
    <w:qFormat/>
    <w:uiPriority w:val="0"/>
    <w:pPr>
      <w:jc w:val="center"/>
    </w:pPr>
    <w:rPr>
      <w:rFonts w:ascii="仿宋_GB2312" w:hAnsi="仿宋_GB2312" w:cs="仿宋_GB2312"/>
      <w:sz w:val="21"/>
      <w:szCs w:val="21"/>
    </w:rPr>
  </w:style>
  <w:style w:type="character" w:customStyle="1" w:styleId="70">
    <w:name w:val="页脚 字符"/>
    <w:basedOn w:val="23"/>
    <w:link w:val="15"/>
    <w:qFormat/>
    <w:uiPriority w:val="99"/>
    <w:rPr>
      <w:sz w:val="18"/>
      <w:szCs w:val="18"/>
    </w:rPr>
  </w:style>
  <w:style w:type="paragraph" w:customStyle="1" w:styleId="71">
    <w:name w:val="大标题"/>
    <w:basedOn w:val="43"/>
    <w:next w:val="32"/>
    <w:qFormat/>
    <w:uiPriority w:val="0"/>
    <w:pPr>
      <w:ind w:firstLine="0" w:firstLineChars="0"/>
      <w:jc w:val="center"/>
    </w:pPr>
    <w:rPr>
      <w:rFonts w:ascii="方正小标宋简体" w:eastAsia="方正小标宋简体"/>
      <w:sz w:val="44"/>
      <w:szCs w:val="52"/>
    </w:rPr>
  </w:style>
  <w:style w:type="paragraph" w:customStyle="1" w:styleId="72">
    <w:name w:val="01大标题"/>
    <w:basedOn w:val="43"/>
    <w:next w:val="32"/>
    <w:qFormat/>
    <w:uiPriority w:val="0"/>
    <w:pPr>
      <w:ind w:firstLine="0" w:firstLineChars="0"/>
      <w:jc w:val="center"/>
    </w:pPr>
    <w:rPr>
      <w:rFonts w:ascii="方正小标宋简体" w:eastAsia="方正小标宋简体"/>
      <w:sz w:val="44"/>
      <w:szCs w:val="52"/>
    </w:rPr>
  </w:style>
  <w:style w:type="character" w:customStyle="1" w:styleId="73">
    <w:name w:val="标题 6 字符"/>
    <w:basedOn w:val="23"/>
    <w:link w:val="7"/>
    <w:semiHidden/>
    <w:qFormat/>
    <w:uiPriority w:val="9"/>
    <w:rPr>
      <w:rFonts w:cstheme="majorBidi"/>
      <w:b/>
      <w:bCs/>
      <w:color w:val="104862" w:themeColor="accent1" w:themeShade="BF"/>
      <w:szCs w:val="22"/>
    </w:rPr>
  </w:style>
  <w:style w:type="character" w:customStyle="1" w:styleId="74">
    <w:name w:val="标题 7 字符"/>
    <w:basedOn w:val="23"/>
    <w:link w:val="8"/>
    <w:semiHidden/>
    <w:qFormat/>
    <w:uiPriority w:val="9"/>
    <w:rPr>
      <w:rFonts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75">
    <w:name w:val="标题 8 字符"/>
    <w:basedOn w:val="23"/>
    <w:link w:val="9"/>
    <w:semiHidden/>
    <w:qFormat/>
    <w:uiPriority w:val="9"/>
    <w:rPr>
      <w:rFonts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76">
    <w:name w:val="标题 9 字符"/>
    <w:basedOn w:val="23"/>
    <w:link w:val="10"/>
    <w:semiHidden/>
    <w:qFormat/>
    <w:uiPriority w:val="9"/>
    <w:rPr>
      <w:rFonts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77">
    <w:name w:val="标题 字符"/>
    <w:basedOn w:val="23"/>
    <w:link w:val="20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78">
    <w:name w:val="副标题 字符"/>
    <w:basedOn w:val="23"/>
    <w:link w:val="17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79">
    <w:name w:val="Quote"/>
    <w:basedOn w:val="1"/>
    <w:next w:val="1"/>
    <w:link w:val="8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80">
    <w:name w:val="引用 字符"/>
    <w:basedOn w:val="23"/>
    <w:link w:val="79"/>
    <w:qFormat/>
    <w:uiPriority w:val="29"/>
    <w:rPr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81">
    <w:name w:val="List Paragraph"/>
    <w:basedOn w:val="1"/>
    <w:qFormat/>
    <w:uiPriority w:val="34"/>
    <w:pPr>
      <w:ind w:left="720"/>
      <w:contextualSpacing/>
    </w:pPr>
  </w:style>
  <w:style w:type="character" w:customStyle="1" w:styleId="82">
    <w:name w:val="明显强调1"/>
    <w:basedOn w:val="23"/>
    <w:qFormat/>
    <w:uiPriority w:val="21"/>
    <w:rPr>
      <w:i/>
      <w:iCs/>
      <w:color w:val="104862" w:themeColor="accent1" w:themeShade="BF"/>
    </w:rPr>
  </w:style>
  <w:style w:type="paragraph" w:styleId="83">
    <w:name w:val="Intense Quote"/>
    <w:basedOn w:val="1"/>
    <w:next w:val="1"/>
    <w:link w:val="8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84">
    <w:name w:val="明显引用 字符"/>
    <w:basedOn w:val="23"/>
    <w:link w:val="83"/>
    <w:qFormat/>
    <w:uiPriority w:val="30"/>
    <w:rPr>
      <w:i/>
      <w:iCs/>
      <w:color w:val="104862" w:themeColor="accent1" w:themeShade="BF"/>
      <w:szCs w:val="22"/>
    </w:rPr>
  </w:style>
  <w:style w:type="character" w:customStyle="1" w:styleId="85">
    <w:name w:val="明显参考1"/>
    <w:basedOn w:val="23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86">
    <w:name w:val="页眉 字符"/>
    <w:basedOn w:val="23"/>
    <w:link w:val="16"/>
    <w:qFormat/>
    <w:uiPriority w:val="99"/>
    <w:rPr>
      <w:sz w:val="18"/>
      <w:szCs w:val="18"/>
    </w:rPr>
  </w:style>
  <w:style w:type="character" w:customStyle="1" w:styleId="87">
    <w:name w:val="正文文本 字符"/>
    <w:basedOn w:val="23"/>
    <w:link w:val="13"/>
    <w:qFormat/>
    <w:uiPriority w:val="0"/>
    <w:rPr>
      <w:rFonts w:ascii="华文新魏" w:hAnsi="Times New Roman" w:eastAsia="华文新魏" w:cs="Times New Roman"/>
      <w:kern w:val="0"/>
      <w:sz w:val="36"/>
      <w:szCs w:val="24"/>
    </w:rPr>
  </w:style>
  <w:style w:type="paragraph" w:customStyle="1" w:styleId="88">
    <w:name w:val="修订1"/>
    <w:hidden/>
    <w:semiHidden/>
    <w:qFormat/>
    <w:uiPriority w:val="99"/>
    <w:pPr>
      <w:spacing w:after="160" w:line="278" w:lineRule="auto"/>
    </w:pPr>
    <w:rPr>
      <w:rFonts w:ascii="Calibri" w:hAnsi="Calibri" w:eastAsia="仿宋_GB2312" w:cs="Times New Roman"/>
      <w:spacing w:val="-6"/>
      <w:kern w:val="2"/>
      <w:sz w:val="32"/>
      <w:lang w:val="en-US" w:eastAsia="zh-CN" w:bidi="ar-SA"/>
    </w:rPr>
  </w:style>
  <w:style w:type="character" w:customStyle="1" w:styleId="89">
    <w:name w:val="批注文字 字符"/>
    <w:basedOn w:val="23"/>
    <w:link w:val="12"/>
    <w:semiHidden/>
    <w:qFormat/>
    <w:uiPriority w:val="99"/>
    <w:rPr>
      <w:rFonts w:ascii="Calibri" w:hAnsi="Calibri" w:eastAsia="仿宋_GB2312" w:cs="Times New Roman"/>
      <w:spacing w:val="-6"/>
      <w:sz w:val="32"/>
      <w:szCs w:val="20"/>
    </w:rPr>
  </w:style>
  <w:style w:type="character" w:customStyle="1" w:styleId="90">
    <w:name w:val="批注主题 字符"/>
    <w:basedOn w:val="89"/>
    <w:link w:val="21"/>
    <w:semiHidden/>
    <w:qFormat/>
    <w:uiPriority w:val="99"/>
    <w:rPr>
      <w:rFonts w:ascii="Calibri" w:hAnsi="Calibri" w:eastAsia="仿宋_GB2312" w:cs="Times New Roman"/>
      <w:b/>
      <w:bCs/>
      <w:spacing w:val="-6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2604</Words>
  <Characters>2689</Characters>
  <Lines>23</Lines>
  <Paragraphs>6</Paragraphs>
  <TotalTime>0</TotalTime>
  <ScaleCrop>false</ScaleCrop>
  <LinksUpToDate>false</LinksUpToDate>
  <CharactersWithSpaces>2865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2026-06-30T18:56:00Z</dcterms:created>
  <dc:creator>汤旭</dc:creator>
  <cp:lastModifiedBy>吴蕴之</cp:lastModifiedBy>
  <dcterms:modified xsi:type="dcterms:W3CDTF">2026-07-30T07:48:37Z</dcterms:modified>
  <cp:revision>607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eyJoZGlkIjoiMGRiOWJmMWZmZWVjNzE3MDRkNmVmZmNlZDQ0NDgzNjIiLCJ1c2VySWQiOiI0NTQ4NTYzMDIifQ==</vt:lpwstr>
  </property>
  <property fmtid="{D5CDD505-2E9C-101B-9397-08002B2CF9AE}" pid="4" name="ICV">
    <vt:lpwstr>BE4DA7BEF71D4994B28C8D4E37B4B926_12</vt:lpwstr>
  </property>
</Properties>
</file>