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44109">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37DD284B">
      <w:pPr>
        <w:jc w:val="center"/>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rPr>
        <w:t>美丽工厂建设指标体系及评分标准</w:t>
      </w:r>
      <w:bookmarkEnd w:id="0"/>
    </w:p>
    <w:p w14:paraId="1E02D5C7">
      <w:pPr>
        <w:pStyle w:val="9"/>
        <w:spacing w:line="200" w:lineRule="exact"/>
        <w:jc w:val="both"/>
        <w:rPr>
          <w:rFonts w:hint="eastAsia" w:ascii="黑体" w:hAnsi="黑体" w:eastAsia="黑体" w:cs="黑体"/>
          <w:color w:val="000000"/>
          <w:sz w:val="36"/>
          <w:szCs w:val="36"/>
          <w:lang w:val="en-US" w:eastAsia="zh-C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9"/>
        <w:gridCol w:w="1281"/>
        <w:gridCol w:w="947"/>
        <w:gridCol w:w="2789"/>
        <w:gridCol w:w="6583"/>
        <w:gridCol w:w="795"/>
      </w:tblGrid>
      <w:tr w14:paraId="4086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83" w:hRule="atLeast"/>
          <w:tblHeader/>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2C233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9E4F7FC">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一级</w:t>
            </w:r>
          </w:p>
          <w:p w14:paraId="599FEDEA">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5A9CD5E">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二级</w:t>
            </w:r>
          </w:p>
          <w:p w14:paraId="00DC296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B0D0EB1">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指标解释</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07FD264">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评分标准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630298">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分值</w:t>
            </w:r>
          </w:p>
        </w:tc>
      </w:tr>
      <w:tr w14:paraId="24C8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862"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A0A27D">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E637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绿色高效</w:t>
            </w:r>
          </w:p>
          <w:p w14:paraId="49389D57">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48</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F5219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大气</w:t>
            </w:r>
          </w:p>
          <w:p w14:paraId="1DCBA7A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污染物</w:t>
            </w:r>
          </w:p>
          <w:p w14:paraId="5292876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98585F2">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CD96047">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50%×国家和本市规定的污染物排放标准（达到绿色绩效评价的“深绿”标准）得满分。自行监测主要大气污染物浓度值处于标准的50%-70%（含）范围内，得4分（达到绿色绩效评价的“浅绿”标准）。自行监测主要大气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5714D3">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655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3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39F61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BD02">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B60938">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水污染物排放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5D4EC16">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6CF3368">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50%×国家和本市规定的污染物排放标准（达到绿色绩效评价的“深绿”标准），得满分。自行监测主要水污染物浓度值处于标准的50%-70%（含）范围内，得4分（达到绿色绩效评价的“浅绿”标准）。自行监测主要水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B7E00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1D8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39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14BC15">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A55B">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AFD1396">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碳排放弹性</w:t>
            </w:r>
          </w:p>
          <w:p w14:paraId="3F962FA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系数</w:t>
            </w:r>
          </w:p>
        </w:tc>
        <w:tc>
          <w:tcPr>
            <w:tcW w:w="2789" w:type="dxa"/>
            <w:tcBorders>
              <w:top w:val="single" w:color="000000" w:sz="4" w:space="0"/>
              <w:left w:val="single" w:color="000000" w:sz="4" w:space="0"/>
              <w:bottom w:val="single" w:color="auto" w:sz="4" w:space="0"/>
              <w:right w:val="single" w:color="000000" w:sz="4" w:space="0"/>
            </w:tcBorders>
            <w:noWrap w:val="0"/>
            <w:vAlign w:val="center"/>
          </w:tcPr>
          <w:p w14:paraId="54982FEB">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碳排放弹性系数＝工厂碳排放量三年年均增长率（％）／工厂工业产值三年年均增长率（％）</w:t>
            </w:r>
            <w:r>
              <w:rPr>
                <w:rFonts w:hint="eastAsia" w:ascii="仿宋_GB2312" w:hAnsi="仿宋_GB2312" w:cs="仿宋_GB2312"/>
                <w:i w:val="0"/>
                <w:color w:val="000000"/>
                <w:spacing w:val="-6"/>
                <w:kern w:val="0"/>
                <w:sz w:val="28"/>
                <w:szCs w:val="28"/>
                <w:u w:val="none"/>
                <w:lang w:val="en-US" w:eastAsia="zh-CN" w:bidi="ar"/>
              </w:rPr>
              <w:t>（以碳核查数据为依据进行计算）</w:t>
            </w:r>
          </w:p>
        </w:tc>
        <w:tc>
          <w:tcPr>
            <w:tcW w:w="6583" w:type="dxa"/>
            <w:tcBorders>
              <w:top w:val="single" w:color="000000" w:sz="4" w:space="0"/>
              <w:left w:val="single" w:color="000000" w:sz="4" w:space="0"/>
              <w:bottom w:val="single" w:color="000000" w:sz="4" w:space="0"/>
            </w:tcBorders>
            <w:noWrap w:val="0"/>
            <w:vAlign w:val="center"/>
          </w:tcPr>
          <w:p w14:paraId="68434AEE">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1.如果工厂产值近三年年均增长率&gt;0，工厂碳排放弹性系数≤0.5得满分，≥1</w:t>
            </w:r>
            <w:r>
              <w:rPr>
                <w:rFonts w:hint="eastAsia" w:ascii="仿宋_GB2312" w:hAnsi="仿宋_GB2312" w:cs="仿宋_GB2312"/>
                <w:i w:val="0"/>
                <w:color w:val="000000"/>
                <w:spacing w:val="-6"/>
                <w:kern w:val="0"/>
                <w:sz w:val="28"/>
                <w:szCs w:val="28"/>
                <w:u w:val="none"/>
                <w:lang w:val="en-US" w:eastAsia="zh-CN" w:bidi="ar"/>
              </w:rPr>
              <w:t xml:space="preserve">    </w:t>
            </w:r>
            <w:r>
              <w:rPr>
                <w:rFonts w:hint="eastAsia" w:ascii="仿宋_GB2312" w:hAnsi="仿宋_GB2312" w:eastAsia="仿宋_GB2312" w:cs="仿宋_GB2312"/>
                <w:i w:val="0"/>
                <w:color w:val="000000"/>
                <w:spacing w:val="-6"/>
                <w:kern w:val="0"/>
                <w:sz w:val="28"/>
                <w:szCs w:val="28"/>
                <w:u w:val="none"/>
                <w:lang w:val="en-US" w:eastAsia="zh-CN" w:bidi="ar"/>
              </w:rPr>
              <w:t>不得分，碳排放弹性系数在0.5至1之间按比例得分。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2.如果工厂产值近三年年均增长率&lt;0，工厂碳排放弹性系数≥2得满分，≤1不得分，碳排放弹性系数在1至2之间按比例得分。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E398FA">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3C7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3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D25424">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03020">
            <w:pPr>
              <w:widowControl/>
              <w:snapToGrid w:val="0"/>
              <w:spacing w:line="35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auto" w:sz="4" w:space="0"/>
            </w:tcBorders>
            <w:noWrap w:val="0"/>
            <w:vAlign w:val="center"/>
          </w:tcPr>
          <w:p w14:paraId="4759CBD7">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移动</w:t>
            </w:r>
          </w:p>
          <w:p w14:paraId="63A5663E">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排放源结构及排放</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0234270E">
            <w:pPr>
              <w:keepNext w:val="0"/>
              <w:keepLines w:val="0"/>
              <w:widowControl/>
              <w:suppressLineNumbers w:val="0"/>
              <w:snapToGrid w:val="0"/>
              <w:spacing w:line="35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货车、大中型客车和非道路移动机械新能源化要求</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56E4537E">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（1）2024年以来新增或更新的内部车辆和非道路移动机械原则上应采用新能源；</w:t>
            </w:r>
            <w:r>
              <w:rPr>
                <w:rFonts w:hint="eastAsia" w:ascii="仿宋_GB2312" w:hAnsi="仿宋_GB2312" w:cs="仿宋_GB2312"/>
                <w:color w:val="000000"/>
                <w:kern w:val="0"/>
                <w:sz w:val="28"/>
                <w:szCs w:val="28"/>
                <w:lang w:bidi="ar"/>
              </w:rPr>
              <w:t>2024年以来新增或更新的货车、大中客车、内部车辆以及叉车、升降平台、装载机、挖掘机全部</w:t>
            </w:r>
            <w:r>
              <w:rPr>
                <w:rFonts w:hint="eastAsia" w:ascii="仿宋_GB2312" w:hAnsi="仿宋_GB2312" w:cs="仿宋_GB2312"/>
                <w:color w:val="000000"/>
                <w:kern w:val="0"/>
                <w:sz w:val="28"/>
                <w:szCs w:val="28"/>
                <w:lang w:eastAsia="zh-CN" w:bidi="ar"/>
              </w:rPr>
              <w:t>实现</w:t>
            </w:r>
            <w:r>
              <w:rPr>
                <w:rFonts w:hint="eastAsia" w:ascii="仿宋_GB2312" w:hAnsi="仿宋_GB2312" w:cs="仿宋_GB2312"/>
                <w:color w:val="000000"/>
                <w:kern w:val="0"/>
                <w:sz w:val="28"/>
                <w:szCs w:val="28"/>
                <w:lang w:bidi="ar"/>
              </w:rPr>
              <w:t>新能源</w:t>
            </w:r>
            <w:r>
              <w:rPr>
                <w:rFonts w:hint="eastAsia" w:ascii="仿宋_GB2312" w:hAnsi="仿宋_GB2312" w:eastAsia="仿宋_GB2312" w:cs="仿宋_GB2312"/>
                <w:i w:val="0"/>
                <w:color w:val="000000"/>
                <w:spacing w:val="-6"/>
                <w:kern w:val="0"/>
                <w:sz w:val="28"/>
                <w:szCs w:val="28"/>
                <w:u w:val="none"/>
                <w:lang w:val="en-US" w:eastAsia="zh-CN" w:bidi="ar"/>
              </w:rPr>
              <w:t>得</w:t>
            </w:r>
            <w:r>
              <w:rPr>
                <w:rFonts w:hint="eastAsia" w:ascii="仿宋_GB2312" w:hAnsi="仿宋_GB2312" w:cs="仿宋_GB2312"/>
                <w:i w:val="0"/>
                <w:color w:val="000000"/>
                <w:spacing w:val="-6"/>
                <w:kern w:val="0"/>
                <w:sz w:val="28"/>
                <w:szCs w:val="28"/>
                <w:u w:val="none"/>
                <w:lang w:val="en-US" w:eastAsia="zh-CN" w:bidi="ar"/>
              </w:rPr>
              <w:t>1.5</w:t>
            </w:r>
            <w:r>
              <w:rPr>
                <w:rFonts w:hint="eastAsia" w:ascii="仿宋_GB2312" w:hAnsi="仿宋_GB2312" w:eastAsia="仿宋_GB2312" w:cs="仿宋_GB2312"/>
                <w:i w:val="0"/>
                <w:color w:val="000000"/>
                <w:spacing w:val="-6"/>
                <w:kern w:val="0"/>
                <w:sz w:val="28"/>
                <w:szCs w:val="28"/>
                <w:u w:val="none"/>
                <w:lang w:val="en-US" w:eastAsia="zh-CN" w:bidi="ar"/>
              </w:rPr>
              <w:t>分，否则</w:t>
            </w:r>
            <w:r>
              <w:rPr>
                <w:rFonts w:hint="eastAsia" w:ascii="仿宋_GB2312" w:hAnsi="仿宋_GB2312" w:cs="仿宋_GB2312"/>
                <w:i w:val="0"/>
                <w:color w:val="000000"/>
                <w:spacing w:val="-6"/>
                <w:kern w:val="0"/>
                <w:sz w:val="28"/>
                <w:szCs w:val="28"/>
                <w:u w:val="none"/>
                <w:lang w:val="en-US" w:eastAsia="zh-CN" w:bidi="ar"/>
              </w:rPr>
              <w:t>酌情给分</w:t>
            </w:r>
            <w:r>
              <w:rPr>
                <w:rFonts w:hint="eastAsia" w:ascii="仿宋_GB2312" w:hAnsi="仿宋_GB2312" w:eastAsia="仿宋_GB2312" w:cs="仿宋_GB2312"/>
                <w:i w:val="0"/>
                <w:color w:val="000000"/>
                <w:spacing w:val="-6"/>
                <w:kern w:val="0"/>
                <w:sz w:val="28"/>
                <w:szCs w:val="28"/>
                <w:u w:val="none"/>
                <w:lang w:val="en-US" w:eastAsia="zh-CN" w:bidi="ar"/>
              </w:rPr>
              <w:t>。</w:t>
            </w:r>
          </w:p>
          <w:p w14:paraId="7F06D13A">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val="en-US" w:eastAsia="zh-CN" w:bidi="ar"/>
              </w:rPr>
              <w:t>（2）自有货车、大中客车均为新能源或国六b及以上排放标准，得0.5分，否则不得分。自有非道路移动机械均为新能源或国四及以上排放标准，得0.5分，否则不得分。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）物料公路运输</w:t>
            </w:r>
            <w:r>
              <w:rPr>
                <w:rFonts w:hint="eastAsia" w:ascii="仿宋_GB2312" w:hAnsi="仿宋_GB2312" w:cs="仿宋_GB2312"/>
                <w:i w:val="0"/>
                <w:color w:val="000000"/>
                <w:spacing w:val="-6"/>
                <w:kern w:val="0"/>
                <w:sz w:val="28"/>
                <w:szCs w:val="28"/>
                <w:u w:val="none"/>
                <w:lang w:val="en-US" w:eastAsia="zh-CN" w:bidi="ar"/>
              </w:rPr>
              <w:t>新能源或铁路使用比例不低于50%，且</w:t>
            </w:r>
            <w:r>
              <w:rPr>
                <w:rFonts w:hint="eastAsia" w:ascii="仿宋_GB2312" w:hAnsi="仿宋_GB2312" w:eastAsia="仿宋_GB2312" w:cs="仿宋_GB2312"/>
                <w:i w:val="0"/>
                <w:color w:val="000000"/>
                <w:spacing w:val="-6"/>
                <w:kern w:val="0"/>
                <w:sz w:val="28"/>
                <w:szCs w:val="28"/>
                <w:u w:val="none"/>
                <w:lang w:val="en-US" w:eastAsia="zh-CN" w:bidi="ar"/>
              </w:rPr>
              <w:t>厂内运输和通勤</w:t>
            </w:r>
            <w:r>
              <w:rPr>
                <w:rFonts w:hint="eastAsia" w:ascii="仿宋_GB2312" w:hAnsi="仿宋_GB2312" w:cs="仿宋_GB2312"/>
                <w:i w:val="0"/>
                <w:color w:val="000000"/>
                <w:spacing w:val="-6"/>
                <w:kern w:val="0"/>
                <w:sz w:val="28"/>
                <w:szCs w:val="28"/>
                <w:u w:val="none"/>
                <w:lang w:val="en-US" w:eastAsia="zh-CN" w:bidi="ar"/>
              </w:rPr>
              <w:t>班</w:t>
            </w:r>
            <w:r>
              <w:rPr>
                <w:rFonts w:hint="eastAsia" w:ascii="仿宋_GB2312" w:hAnsi="仿宋_GB2312" w:eastAsia="仿宋_GB2312" w:cs="仿宋_GB2312"/>
                <w:i w:val="0"/>
                <w:color w:val="000000"/>
                <w:spacing w:val="-6"/>
                <w:kern w:val="0"/>
                <w:sz w:val="28"/>
                <w:szCs w:val="28"/>
                <w:u w:val="none"/>
                <w:lang w:val="en-US" w:eastAsia="zh-CN" w:bidi="ar"/>
              </w:rPr>
              <w:t>车新能源使用比例不低于50%，其余车辆达到国六b排放标准要求的，得1.5分；对于比例低于50%的，按照比例得分。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4</w:t>
            </w:r>
            <w:r>
              <w:rPr>
                <w:rFonts w:hint="eastAsia" w:ascii="仿宋_GB2312" w:hAnsi="仿宋_GB2312" w:eastAsia="仿宋_GB2312" w:cs="仿宋_GB2312"/>
                <w:i w:val="0"/>
                <w:color w:val="000000"/>
                <w:spacing w:val="-6"/>
                <w:kern w:val="0"/>
                <w:sz w:val="28"/>
                <w:szCs w:val="28"/>
                <w:u w:val="none"/>
                <w:lang w:val="en-US" w:eastAsia="zh-CN" w:bidi="ar"/>
              </w:rPr>
              <w:t>）厂内非道路移动机械原则上使用新能源非道路移动机械，其中3吨</w:t>
            </w:r>
            <w:r>
              <w:rPr>
                <w:rFonts w:hint="eastAsia" w:ascii="仿宋_GB2312" w:hAnsi="仿宋_GB2312" w:cs="仿宋_GB2312"/>
                <w:i w:val="0"/>
                <w:color w:val="000000"/>
                <w:spacing w:val="-6"/>
                <w:kern w:val="0"/>
                <w:sz w:val="28"/>
                <w:szCs w:val="28"/>
                <w:u w:val="none"/>
                <w:lang w:val="en-US" w:eastAsia="zh-CN" w:bidi="ar"/>
              </w:rPr>
              <w:t>以下</w:t>
            </w:r>
            <w:r>
              <w:rPr>
                <w:rFonts w:hint="eastAsia" w:ascii="仿宋_GB2312" w:hAnsi="仿宋_GB2312" w:eastAsia="仿宋_GB2312" w:cs="仿宋_GB2312"/>
                <w:i w:val="0"/>
                <w:color w:val="000000"/>
                <w:spacing w:val="-6"/>
                <w:kern w:val="0"/>
                <w:sz w:val="28"/>
                <w:szCs w:val="28"/>
                <w:u w:val="none"/>
                <w:lang w:val="en-US" w:eastAsia="zh-CN" w:bidi="ar"/>
              </w:rPr>
              <w:t>叉车、升降平台、2吨及以下装载机、6吨及以下挖掘机使用比例应达到100％；无对应新能源产品的，应使用国四及以上排放标准。满足上述条件得1.5分，对于比例达不到100%的，按照比例得分。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5</w:t>
            </w:r>
            <w:r>
              <w:rPr>
                <w:rFonts w:hint="eastAsia" w:ascii="仿宋_GB2312" w:hAnsi="仿宋_GB2312" w:eastAsia="仿宋_GB2312" w:cs="仿宋_GB2312"/>
                <w:i w:val="0"/>
                <w:color w:val="000000"/>
                <w:spacing w:val="-6"/>
                <w:kern w:val="0"/>
                <w:sz w:val="28"/>
                <w:szCs w:val="28"/>
                <w:u w:val="none"/>
                <w:lang w:val="en-US" w:eastAsia="zh-CN" w:bidi="ar"/>
              </w:rPr>
              <w:t>）如2024年以来无新增或更新移动排放源的</w:t>
            </w:r>
            <w:r>
              <w:rPr>
                <w:rFonts w:hint="eastAsia" w:ascii="仿宋_GB2312" w:hAnsi="仿宋_GB2312" w:cs="仿宋_GB2312"/>
                <w:i w:val="0"/>
                <w:color w:val="000000"/>
                <w:spacing w:val="-6"/>
                <w:kern w:val="0"/>
                <w:sz w:val="28"/>
                <w:szCs w:val="28"/>
                <w:u w:val="none"/>
                <w:lang w:val="en-US" w:eastAsia="zh-CN" w:bidi="ar"/>
              </w:rPr>
              <w:t>且企业</w:t>
            </w:r>
            <w:r>
              <w:rPr>
                <w:rFonts w:hint="eastAsia" w:ascii="仿宋_GB2312" w:hAnsi="仿宋_GB2312" w:eastAsia="仿宋_GB2312" w:cs="仿宋_GB2312"/>
                <w:i w:val="0"/>
                <w:color w:val="000000"/>
                <w:spacing w:val="-6"/>
                <w:kern w:val="0"/>
                <w:sz w:val="28"/>
                <w:szCs w:val="28"/>
                <w:u w:val="none"/>
                <w:lang w:val="en-US" w:eastAsia="zh-CN" w:bidi="ar"/>
              </w:rPr>
              <w:t>部车辆和非道路移动机械</w:t>
            </w:r>
            <w:r>
              <w:rPr>
                <w:rFonts w:hint="eastAsia" w:ascii="仿宋_GB2312" w:hAnsi="仿宋_GB2312" w:cs="仿宋_GB2312"/>
                <w:i w:val="0"/>
                <w:color w:val="000000"/>
                <w:spacing w:val="-6"/>
                <w:kern w:val="0"/>
                <w:sz w:val="28"/>
                <w:szCs w:val="28"/>
                <w:u w:val="none"/>
                <w:lang w:val="en-US" w:eastAsia="zh-CN" w:bidi="ar"/>
              </w:rPr>
              <w:t>新能源比例达到100%</w:t>
            </w:r>
            <w:r>
              <w:rPr>
                <w:rFonts w:hint="eastAsia" w:ascii="仿宋_GB2312" w:hAnsi="仿宋_GB2312" w:eastAsia="仿宋_GB2312" w:cs="仿宋_GB2312"/>
                <w:i w:val="0"/>
                <w:color w:val="000000"/>
                <w:spacing w:val="-6"/>
                <w:kern w:val="0"/>
                <w:sz w:val="28"/>
                <w:szCs w:val="28"/>
                <w:u w:val="none"/>
                <w:lang w:val="en-US" w:eastAsia="zh-CN" w:bidi="ar"/>
              </w:rPr>
              <w:t>，（1）的分值</w:t>
            </w:r>
            <w:r>
              <w:rPr>
                <w:rFonts w:hint="eastAsia" w:ascii="仿宋_GB2312" w:hAnsi="仿宋_GB2312" w:cs="仿宋_GB2312"/>
                <w:i w:val="0"/>
                <w:color w:val="000000"/>
                <w:spacing w:val="-6"/>
                <w:kern w:val="0"/>
                <w:sz w:val="28"/>
                <w:szCs w:val="28"/>
                <w:u w:val="none"/>
                <w:lang w:val="en-US" w:eastAsia="zh-CN" w:bidi="ar"/>
              </w:rPr>
              <w:t>得满分，否则不得分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18F87D">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0C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171"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D02D00">
            <w:pPr>
              <w:widowControl/>
              <w:snapToGrid w:val="0"/>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F991B">
            <w:pPr>
              <w:widowControl/>
              <w:snapToGrid w:val="0"/>
              <w:spacing w:line="32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376052C">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工业固废排放及处理处置</w:t>
            </w:r>
          </w:p>
        </w:tc>
        <w:tc>
          <w:tcPr>
            <w:tcW w:w="2789" w:type="dxa"/>
            <w:tcBorders>
              <w:top w:val="single" w:color="auto" w:sz="4" w:space="0"/>
              <w:left w:val="single" w:color="000000" w:sz="4" w:space="0"/>
              <w:bottom w:val="single" w:color="000000" w:sz="4" w:space="0"/>
              <w:right w:val="single" w:color="000000" w:sz="4" w:space="0"/>
            </w:tcBorders>
            <w:noWrap w:val="0"/>
            <w:vAlign w:val="center"/>
          </w:tcPr>
          <w:p w14:paraId="33D1FB35">
            <w:pPr>
              <w:keepNext w:val="0"/>
              <w:keepLines w:val="0"/>
              <w:widowControl/>
              <w:suppressLineNumbers w:val="0"/>
              <w:snapToGrid w:val="0"/>
              <w:spacing w:line="30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工业固废源头减量、资源化水平及信息化管理水平</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（1）工业固废产生强度，指每万元工业</w:t>
            </w:r>
            <w:r>
              <w:rPr>
                <w:rFonts w:hint="eastAsia" w:ascii="仿宋_GB2312" w:hAnsi="仿宋_GB2312" w:cs="仿宋_GB2312"/>
                <w:i w:val="0"/>
                <w:color w:val="000000"/>
                <w:spacing w:val="-6"/>
                <w:kern w:val="0"/>
                <w:sz w:val="28"/>
                <w:szCs w:val="28"/>
                <w:u w:val="none"/>
                <w:lang w:val="en-US" w:eastAsia="zh-CN" w:bidi="ar"/>
              </w:rPr>
              <w:t>产值</w:t>
            </w:r>
            <w:r>
              <w:rPr>
                <w:rFonts w:hint="eastAsia" w:ascii="仿宋_GB2312" w:hAnsi="仿宋_GB2312" w:eastAsia="仿宋_GB2312" w:cs="仿宋_GB2312"/>
                <w:i w:val="0"/>
                <w:color w:val="000000"/>
                <w:spacing w:val="-6"/>
                <w:kern w:val="0"/>
                <w:sz w:val="28"/>
                <w:szCs w:val="28"/>
                <w:u w:val="none"/>
                <w:lang w:val="en-US" w:eastAsia="zh-CN" w:bidi="ar"/>
              </w:rPr>
              <w:t>的工业固体废物（含危废）产生量，该指标是用于促进全面降低工业固体废物源头产生强度的综合性指标</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（2）一般工业固废综合利用率，指一般工业固废综合利用量占产生量（包括综合利用往年贮存量）的比率，该指标用于促进一般工业固体废物综合利用水平，减少工业资源、能源消耗</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（3）固体废物信息化管理水平：工厂应当利用国家固废系统或自有系统等，实现一般工业固废和危险废物的信息化监管。</w:t>
            </w:r>
          </w:p>
        </w:tc>
        <w:tc>
          <w:tcPr>
            <w:tcW w:w="6583" w:type="dxa"/>
            <w:tcBorders>
              <w:top w:val="single" w:color="000000" w:sz="4" w:space="0"/>
              <w:left w:val="single" w:color="000000" w:sz="4" w:space="0"/>
              <w:bottom w:val="single" w:color="000000" w:sz="4" w:space="0"/>
            </w:tcBorders>
            <w:noWrap w:val="0"/>
            <w:vAlign w:val="center"/>
          </w:tcPr>
          <w:p w14:paraId="2416A6A4">
            <w:pPr>
              <w:keepNext w:val="0"/>
              <w:keepLines w:val="0"/>
              <w:widowControl/>
              <w:suppressLineNumbers w:val="0"/>
              <w:snapToGrid w:val="0"/>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（1）低于行业平均水平</w:t>
            </w:r>
            <w:r>
              <w:rPr>
                <w:rFonts w:hint="eastAsia" w:ascii="仿宋_GB2312" w:hAnsi="仿宋_GB2312" w:cs="仿宋_GB2312"/>
                <w:i w:val="0"/>
                <w:color w:val="000000"/>
                <w:spacing w:val="-6"/>
                <w:kern w:val="0"/>
                <w:sz w:val="28"/>
                <w:szCs w:val="28"/>
                <w:u w:val="none"/>
                <w:lang w:val="en-US" w:eastAsia="zh-CN" w:bidi="ar"/>
              </w:rPr>
              <w:t>（达到清洁生产2级标准）</w:t>
            </w:r>
            <w:r>
              <w:rPr>
                <w:rFonts w:hint="eastAsia" w:ascii="仿宋_GB2312" w:hAnsi="仿宋_GB2312" w:eastAsia="仿宋_GB2312" w:cs="仿宋_GB2312"/>
                <w:i w:val="0"/>
                <w:color w:val="000000"/>
                <w:spacing w:val="-6"/>
                <w:kern w:val="0"/>
                <w:sz w:val="28"/>
                <w:szCs w:val="28"/>
                <w:u w:val="none"/>
                <w:lang w:val="en-US" w:eastAsia="zh-CN" w:bidi="ar"/>
              </w:rPr>
              <w:t>或产生强度近三年累计降幅≥10%，得1.5分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（2）95%≤一般工业固废综合利用率&lt;97%的，得0.5分；97%≤一般工业固废综合利用率&lt;100%的，得1分；一般工业固废综合利用率≥100%的，得1.5分。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（3）一般工业固废实现电子台账的，得1分；一般工业固废实现电子台账且危险废物实现全流程信息化监管的，得2分。</w:t>
            </w:r>
            <w:bookmarkStart w:id="1" w:name="_GoBack"/>
            <w:bookmarkEnd w:id="1"/>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D0D623">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A35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4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F197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936A8">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577995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设备</w:t>
            </w:r>
          </w:p>
          <w:p w14:paraId="25CAF4F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节能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B39EEF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工厂使用的主要用能设备达到《重点用能产品设备能效先进水平、节能水平和准入水平（2024年版）》中相应设备的节能水平要求。</w:t>
            </w:r>
          </w:p>
        </w:tc>
        <w:tc>
          <w:tcPr>
            <w:tcW w:w="6583" w:type="dxa"/>
            <w:tcBorders>
              <w:top w:val="single" w:color="000000" w:sz="4" w:space="0"/>
              <w:left w:val="single" w:color="000000" w:sz="4" w:space="0"/>
              <w:bottom w:val="single" w:color="000000" w:sz="4" w:space="0"/>
            </w:tcBorders>
            <w:noWrap w:val="0"/>
            <w:vAlign w:val="center"/>
          </w:tcPr>
          <w:p w14:paraId="60A4DAB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w:t>
            </w:r>
            <w:r>
              <w:rPr>
                <w:rFonts w:hint="eastAsia" w:ascii="仿宋_GB2312" w:hAnsi="仿宋_GB2312" w:eastAsia="仿宋_GB2312" w:cs="仿宋_GB2312"/>
                <w:color w:val="000000"/>
                <w:spacing w:val="-6"/>
                <w:kern w:val="0"/>
                <w:sz w:val="28"/>
                <w:szCs w:val="28"/>
                <w:u w:val="none"/>
                <w:vertAlign w:val="baseline"/>
                <w:lang w:val="en-US" w:eastAsia="zh-CN" w:bidi="ar"/>
              </w:rPr>
              <w:t>主要用能设备主要指功率≥100kW</w:t>
            </w:r>
            <w:r>
              <w:rPr>
                <w:rFonts w:hint="eastAsia" w:ascii="仿宋_GB2312" w:hAnsi="仿宋_GB2312" w:eastAsia="仿宋_GB2312" w:cs="仿宋_GB2312"/>
                <w:i w:val="0"/>
                <w:color w:val="000000"/>
                <w:spacing w:val="-6"/>
                <w:kern w:val="0"/>
                <w:sz w:val="28"/>
                <w:szCs w:val="28"/>
                <w:u w:val="none"/>
                <w:lang w:val="en-US" w:eastAsia="zh-CN" w:bidi="ar"/>
              </w:rPr>
              <w:t>中50％达到《重点用能产品设备能效先进水平、节能水平和准入水平（2024年版）》中相应设备的节能水平要求，得满分；不足20％不得分；在20％－50％之间按比例得分。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861E2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E04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49"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8FC36A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A721">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878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能碳</w:t>
            </w:r>
          </w:p>
          <w:p w14:paraId="5F0975D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管理</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13E959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对照</w:t>
            </w:r>
            <w:r>
              <w:rPr>
                <w:rFonts w:hint="eastAsia" w:ascii="仿宋_GB2312" w:hAnsi="仿宋_GB2312" w:cs="仿宋_GB2312"/>
                <w:i w:val="0"/>
                <w:color w:val="000000"/>
                <w:spacing w:val="-6"/>
                <w:kern w:val="0"/>
                <w:sz w:val="28"/>
                <w:szCs w:val="28"/>
                <w:u w:val="none"/>
                <w:lang w:val="en-US" w:eastAsia="zh-CN" w:bidi="ar"/>
              </w:rPr>
              <w:t>工业和信息化部</w:t>
            </w:r>
            <w:r>
              <w:rPr>
                <w:rFonts w:hint="eastAsia" w:ascii="仿宋_GB2312" w:hAnsi="仿宋_GB2312" w:eastAsia="仿宋_GB2312" w:cs="仿宋_GB2312"/>
                <w:i w:val="0"/>
                <w:color w:val="000000"/>
                <w:spacing w:val="-6"/>
                <w:kern w:val="0"/>
                <w:sz w:val="28"/>
                <w:szCs w:val="28"/>
                <w:u w:val="none"/>
                <w:lang w:val="en-US" w:eastAsia="zh-CN" w:bidi="ar"/>
              </w:rPr>
              <w:t>《能碳管理中心建设指南》要求，建设能碳管理中心。</w:t>
            </w:r>
          </w:p>
        </w:tc>
        <w:tc>
          <w:tcPr>
            <w:tcW w:w="6583" w:type="dxa"/>
            <w:tcBorders>
              <w:top w:val="single" w:color="000000" w:sz="4" w:space="0"/>
              <w:left w:val="single" w:color="000000" w:sz="4" w:space="0"/>
              <w:bottom w:val="single" w:color="000000" w:sz="4" w:space="0"/>
            </w:tcBorders>
            <w:noWrap w:val="0"/>
            <w:vAlign w:val="center"/>
          </w:tcPr>
          <w:p w14:paraId="33BEDFDF">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完全符合《能碳管理中心建设指南》</w:t>
            </w:r>
            <w:r>
              <w:rPr>
                <w:rFonts w:hint="eastAsia" w:ascii="仿宋_GB2312" w:hAnsi="仿宋_GB2312" w:cs="仿宋_GB2312"/>
                <w:i w:val="0"/>
                <w:color w:val="000000"/>
                <w:spacing w:val="-6"/>
                <w:kern w:val="0"/>
                <w:sz w:val="28"/>
                <w:szCs w:val="28"/>
                <w:u w:val="none"/>
                <w:lang w:val="en-US" w:eastAsia="zh-CN" w:bidi="ar"/>
              </w:rPr>
              <w:t>业务功能指标项</w:t>
            </w:r>
            <w:r>
              <w:rPr>
                <w:rFonts w:hint="eastAsia" w:ascii="仿宋_GB2312" w:hAnsi="仿宋_GB2312" w:eastAsia="仿宋_GB2312" w:cs="仿宋_GB2312"/>
                <w:i w:val="0"/>
                <w:color w:val="000000"/>
                <w:spacing w:val="-6"/>
                <w:kern w:val="0"/>
                <w:sz w:val="28"/>
                <w:szCs w:val="28"/>
                <w:u w:val="none"/>
                <w:lang w:val="en-US" w:eastAsia="zh-CN" w:bidi="ar"/>
              </w:rPr>
              <w:t>的，得满分；不完全符合的，根据功能酌情给分。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89866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4DC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7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D0D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417FD">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B7509E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碳足迹核算</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B013B2">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采用适用的标准或规范对产品进行碳足迹核算或核查。利用核算或核查结果对其产品的碳足迹进行改善。</w:t>
            </w:r>
          </w:p>
        </w:tc>
        <w:tc>
          <w:tcPr>
            <w:tcW w:w="6583" w:type="dxa"/>
            <w:tcBorders>
              <w:top w:val="single" w:color="000000" w:sz="4" w:space="0"/>
              <w:left w:val="single" w:color="000000" w:sz="4" w:space="0"/>
              <w:bottom w:val="single" w:color="000000" w:sz="4" w:space="0"/>
            </w:tcBorders>
            <w:noWrap w:val="0"/>
            <w:vAlign w:val="center"/>
          </w:tcPr>
          <w:p w14:paraId="7DE7D2B5">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开展碳足迹核算的产品达到3种</w:t>
            </w:r>
            <w:r>
              <w:rPr>
                <w:rFonts w:hint="eastAsia" w:ascii="仿宋_GB2312" w:hAnsi="仿宋_GB2312" w:cs="仿宋_GB2312"/>
                <w:i w:val="0"/>
                <w:color w:val="000000"/>
                <w:spacing w:val="-6"/>
                <w:kern w:val="0"/>
                <w:sz w:val="28"/>
                <w:szCs w:val="28"/>
                <w:u w:val="none"/>
                <w:lang w:val="en-US" w:eastAsia="zh-CN" w:bidi="ar"/>
              </w:rPr>
              <w:t>或占总体产品种类比例达100%</w:t>
            </w:r>
            <w:r>
              <w:rPr>
                <w:rFonts w:hint="eastAsia" w:ascii="仿宋_GB2312" w:hAnsi="仿宋_GB2312" w:eastAsia="仿宋_GB2312" w:cs="仿宋_GB2312"/>
                <w:i w:val="0"/>
                <w:color w:val="000000"/>
                <w:spacing w:val="-6"/>
                <w:kern w:val="0"/>
                <w:sz w:val="28"/>
                <w:szCs w:val="28"/>
                <w:u w:val="none"/>
                <w:lang w:val="en-US" w:eastAsia="zh-CN" w:bidi="ar"/>
              </w:rPr>
              <w:t>，得满分；2种，得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分；1种得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871CA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4859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F1B3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5BD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6F297C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智能化水平</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A749A07">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工厂获得智能工厂认定相关情况。</w:t>
            </w:r>
          </w:p>
        </w:tc>
        <w:tc>
          <w:tcPr>
            <w:tcW w:w="6583" w:type="dxa"/>
            <w:tcBorders>
              <w:top w:val="single" w:color="000000" w:sz="4" w:space="0"/>
              <w:left w:val="single" w:color="000000" w:sz="4" w:space="0"/>
              <w:bottom w:val="single" w:color="000000" w:sz="4" w:space="0"/>
            </w:tcBorders>
            <w:noWrap w:val="0"/>
            <w:vAlign w:val="center"/>
          </w:tcPr>
          <w:p w14:paraId="18CB25E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工厂被工业和信息化部认定为领航级智能</w:t>
            </w:r>
            <w:r>
              <w:rPr>
                <w:rFonts w:hint="eastAsia" w:ascii="仿宋_GB2312" w:hAnsi="仿宋_GB2312" w:cs="仿宋_GB2312"/>
                <w:i w:val="0"/>
                <w:color w:val="000000"/>
                <w:spacing w:val="-6"/>
                <w:kern w:val="0"/>
                <w:sz w:val="28"/>
                <w:szCs w:val="28"/>
                <w:u w:val="none"/>
                <w:lang w:val="en-US" w:eastAsia="zh-CN" w:bidi="ar"/>
              </w:rPr>
              <w:t>或灯塔</w:t>
            </w:r>
            <w:r>
              <w:rPr>
                <w:rFonts w:hint="eastAsia" w:ascii="仿宋_GB2312" w:hAnsi="仿宋_GB2312" w:eastAsia="仿宋_GB2312" w:cs="仿宋_GB2312"/>
                <w:i w:val="0"/>
                <w:color w:val="000000"/>
                <w:spacing w:val="-6"/>
                <w:kern w:val="0"/>
                <w:sz w:val="28"/>
                <w:szCs w:val="28"/>
                <w:u w:val="none"/>
                <w:lang w:val="en-US" w:eastAsia="zh-CN" w:bidi="ar"/>
              </w:rPr>
              <w:t>工厂，得满分；被工业和信息化部认定为卓越级智能工厂，得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分；被认定为北京市先进级智能工厂得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t>被认定为北京市</w:t>
            </w:r>
            <w:r>
              <w:rPr>
                <w:rFonts w:hint="eastAsia" w:ascii="仿宋_GB2312" w:hAnsi="仿宋_GB2312" w:cs="仿宋_GB2312"/>
                <w:i w:val="0"/>
                <w:color w:val="000000"/>
                <w:spacing w:val="-6"/>
                <w:kern w:val="0"/>
                <w:sz w:val="28"/>
                <w:szCs w:val="28"/>
                <w:u w:val="none"/>
                <w:lang w:val="en-US" w:eastAsia="zh-CN" w:bidi="ar"/>
              </w:rPr>
              <w:t>基础</w:t>
            </w:r>
            <w:r>
              <w:rPr>
                <w:rFonts w:hint="eastAsia" w:ascii="仿宋_GB2312" w:hAnsi="仿宋_GB2312" w:eastAsia="仿宋_GB2312" w:cs="仿宋_GB2312"/>
                <w:i w:val="0"/>
                <w:color w:val="000000"/>
                <w:spacing w:val="-6"/>
                <w:kern w:val="0"/>
                <w:sz w:val="28"/>
                <w:szCs w:val="28"/>
                <w:u w:val="none"/>
                <w:lang w:val="en-US" w:eastAsia="zh-CN" w:bidi="ar"/>
              </w:rPr>
              <w:t>级智能工厂得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1E52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8F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32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2609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12EC">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1B9F7C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w:t>
            </w:r>
          </w:p>
          <w:p w14:paraId="4BC9D88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建筑</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F2758EC">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bidi="ar"/>
              </w:rPr>
              <w:t>厂区内办公楼和厂房按照《绿色建筑评价标准》（GB/T 50378）、《绿色建筑评价标准》(DB11/T 825)、《绿色工业建筑评价标准》（GB/T 50878）、《既有建筑绿色改造评价标准》（GB/T 51141）、《既有工业建筑民用化绿色改造评价标准》（DB11/T 1844）等标准获得绿色建筑标识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6583" w:type="dxa"/>
            <w:tcBorders>
              <w:top w:val="single" w:color="000000" w:sz="4" w:space="0"/>
              <w:left w:val="single" w:color="000000" w:sz="4" w:space="0"/>
              <w:bottom w:val="single" w:color="000000" w:sz="4" w:space="0"/>
            </w:tcBorders>
            <w:noWrap w:val="0"/>
            <w:vAlign w:val="center"/>
          </w:tcPr>
          <w:p w14:paraId="0B5C8960">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厂区内有建筑获得三星级绿色建筑标识，得满分；有建筑获得二星级绿色建筑标识，得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b w:val="0"/>
                <w:bCs w:val="0"/>
                <w:color w:val="000000"/>
                <w:kern w:val="0"/>
                <w:sz w:val="28"/>
                <w:szCs w:val="28"/>
                <w:lang w:val="en-US" w:eastAsia="zh-CN" w:bidi="ar"/>
              </w:rPr>
              <w:t>厂区建筑</w:t>
            </w:r>
            <w:r>
              <w:rPr>
                <w:rFonts w:hint="eastAsia" w:ascii="仿宋_GB2312" w:hAnsi="仿宋_GB2312" w:eastAsia="仿宋_GB2312" w:cs="仿宋_GB2312"/>
                <w:b w:val="0"/>
                <w:bCs w:val="0"/>
                <w:color w:val="000000"/>
                <w:kern w:val="0"/>
                <w:sz w:val="28"/>
                <w:szCs w:val="28"/>
                <w:lang w:val="en-US" w:eastAsia="zh-CN" w:bidi="ar"/>
              </w:rPr>
              <w:t>和仓库采用装配式建筑</w:t>
            </w:r>
            <w:r>
              <w:rPr>
                <w:rFonts w:hint="eastAsia" w:ascii="仿宋_GB2312" w:hAnsi="仿宋_GB2312" w:cs="仿宋_GB2312"/>
                <w:b w:val="0"/>
                <w:bCs w:val="0"/>
                <w:color w:val="000000"/>
                <w:kern w:val="0"/>
                <w:sz w:val="28"/>
                <w:szCs w:val="28"/>
                <w:lang w:val="en-US" w:eastAsia="zh-CN" w:bidi="ar"/>
              </w:rPr>
              <w:t>，得1分。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D6B22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3</w:t>
            </w:r>
          </w:p>
        </w:tc>
      </w:tr>
      <w:tr w14:paraId="3AAB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3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F0CD4D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CA83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现代治理之美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1934EE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环境</w:t>
            </w:r>
          </w:p>
          <w:p w14:paraId="14D185C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B03174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D6D80D4">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24001要求的环境管理体系。</w:t>
            </w:r>
          </w:p>
        </w:tc>
        <w:tc>
          <w:tcPr>
            <w:tcW w:w="6583" w:type="dxa"/>
            <w:tcBorders>
              <w:top w:val="single" w:color="000000" w:sz="4" w:space="0"/>
              <w:left w:val="single" w:color="000000" w:sz="4" w:space="0"/>
              <w:bottom w:val="single" w:color="000000" w:sz="4" w:space="0"/>
            </w:tcBorders>
            <w:noWrap w:val="0"/>
            <w:vAlign w:val="center"/>
          </w:tcPr>
          <w:p w14:paraId="48C4B16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E6255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6B40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5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ED88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5575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77145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职业</w:t>
            </w:r>
          </w:p>
          <w:p w14:paraId="056481D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健康</w:t>
            </w:r>
          </w:p>
          <w:p w14:paraId="728921B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安全</w:t>
            </w:r>
          </w:p>
          <w:p w14:paraId="422EF04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559501F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ED6DAB">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28001要求的职业健康安全管理体系。</w:t>
            </w:r>
          </w:p>
        </w:tc>
        <w:tc>
          <w:tcPr>
            <w:tcW w:w="6583" w:type="dxa"/>
            <w:tcBorders>
              <w:top w:val="single" w:color="000000" w:sz="4" w:space="0"/>
              <w:left w:val="single" w:color="000000" w:sz="4" w:space="0"/>
              <w:bottom w:val="single" w:color="000000" w:sz="4" w:space="0"/>
            </w:tcBorders>
            <w:noWrap w:val="0"/>
            <w:vAlign w:val="center"/>
          </w:tcPr>
          <w:p w14:paraId="1CF0BD2A">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17E11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7A10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ED713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C99D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5F917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能源</w:t>
            </w:r>
          </w:p>
          <w:p w14:paraId="5FFD1DD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C31448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A7ADC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23331要求的环境管理体系。</w:t>
            </w:r>
          </w:p>
        </w:tc>
        <w:tc>
          <w:tcPr>
            <w:tcW w:w="6583" w:type="dxa"/>
            <w:tcBorders>
              <w:top w:val="single" w:color="000000" w:sz="4" w:space="0"/>
              <w:left w:val="single" w:color="000000" w:sz="4" w:space="0"/>
              <w:bottom w:val="single" w:color="000000" w:sz="4" w:space="0"/>
            </w:tcBorders>
            <w:noWrap w:val="0"/>
            <w:vAlign w:val="center"/>
          </w:tcPr>
          <w:p w14:paraId="597C5AC2">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BD8D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6C88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1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47361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168F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DFCFAB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质量</w:t>
            </w:r>
          </w:p>
          <w:p w14:paraId="1E0E989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0042F74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2E54171">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19001要求的质量管理体系。</w:t>
            </w:r>
          </w:p>
        </w:tc>
        <w:tc>
          <w:tcPr>
            <w:tcW w:w="6583" w:type="dxa"/>
            <w:tcBorders>
              <w:top w:val="single" w:color="000000" w:sz="4" w:space="0"/>
              <w:left w:val="single" w:color="000000" w:sz="4" w:space="0"/>
              <w:bottom w:val="single" w:color="000000" w:sz="4" w:space="0"/>
            </w:tcBorders>
            <w:noWrap w:val="0"/>
            <w:vAlign w:val="center"/>
          </w:tcPr>
          <w:p w14:paraId="4B8616DD">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6487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44BB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6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0D88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7112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9A2D2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温室</w:t>
            </w:r>
          </w:p>
          <w:p w14:paraId="54A8AD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气体</w:t>
            </w:r>
          </w:p>
          <w:p w14:paraId="0E99E6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排放</w:t>
            </w:r>
          </w:p>
          <w:p w14:paraId="7C4F88C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19DD7C1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体系</w:t>
            </w:r>
          </w:p>
          <w:p w14:paraId="22FF3D4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和制度</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976199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工厂应建立并持续优化温室气体排放管理体系和制度，制定温室气体减排方案或计划。</w:t>
            </w:r>
          </w:p>
        </w:tc>
        <w:tc>
          <w:tcPr>
            <w:tcW w:w="6583" w:type="dxa"/>
            <w:tcBorders>
              <w:top w:val="single" w:color="000000" w:sz="4" w:space="0"/>
              <w:left w:val="single" w:color="000000" w:sz="4" w:space="0"/>
              <w:bottom w:val="single" w:color="000000" w:sz="4" w:space="0"/>
            </w:tcBorders>
            <w:noWrap w:val="0"/>
            <w:vAlign w:val="center"/>
          </w:tcPr>
          <w:p w14:paraId="22FE3F8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企业建立了相关管理体系、制度，制定了相关方案或计划得满分；未建立相关管理体系和制度不得分。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B060F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710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6301F6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16</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05F9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社会责任之美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DBF9D0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责任</w:t>
            </w:r>
          </w:p>
          <w:p w14:paraId="2669229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履行</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8EF4995">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每年发布社会责任报告，说明履行利益相关方责任的情况，特别是环境社会责任的履行情况，报告公开可获得。</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2086BA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w:t>
            </w:r>
            <w:r>
              <w:rPr>
                <w:rFonts w:hint="eastAsia" w:ascii="仿宋_GB2312" w:hAnsi="仿宋_GB2312" w:cs="仿宋_GB2312"/>
                <w:i w:val="0"/>
                <w:color w:val="000000"/>
                <w:spacing w:val="-6"/>
                <w:kern w:val="0"/>
                <w:sz w:val="28"/>
                <w:szCs w:val="28"/>
                <w:u w:val="none"/>
                <w:lang w:val="en-US" w:eastAsia="zh-CN" w:bidi="ar"/>
              </w:rPr>
              <w:t>公开披露ESG信息或可持续发展报告</w:t>
            </w:r>
            <w:r>
              <w:rPr>
                <w:rFonts w:hint="eastAsia" w:ascii="仿宋_GB2312" w:hAnsi="仿宋_GB2312" w:eastAsia="仿宋_GB2312" w:cs="仿宋_GB2312"/>
                <w:i w:val="0"/>
                <w:color w:val="000000"/>
                <w:spacing w:val="-6"/>
                <w:kern w:val="0"/>
                <w:sz w:val="28"/>
                <w:szCs w:val="28"/>
                <w:u w:val="none"/>
                <w:lang w:val="en-US" w:eastAsia="zh-CN" w:bidi="ar"/>
              </w:rPr>
              <w:t>可获得得满分</w:t>
            </w:r>
            <w:r>
              <w:rPr>
                <w:rFonts w:hint="eastAsia" w:ascii="仿宋_GB2312" w:hAnsi="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3E502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DC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4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F583E9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2C96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878966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宣传</w:t>
            </w:r>
          </w:p>
          <w:p w14:paraId="2A53651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展示</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36D376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积极开展公益活动，鼓励员工绿色生活。</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973CFF4">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企业每举办1次绿色低碳生产生活相关的公益活动，得1分，最高得5分。未举办不得分。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E68D2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BFA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2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51A9D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6241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E62CEF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企业</w:t>
            </w:r>
          </w:p>
          <w:p w14:paraId="56615CD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文化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F4F49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通过图片、文字、实物等形式，展示工厂的发展历程、重要事件、企业文化等，展示内容丰富详实，让参观者了解工厂的生产流程、历史文化等。</w:t>
            </w:r>
          </w:p>
        </w:tc>
        <w:tc>
          <w:tcPr>
            <w:tcW w:w="6583" w:type="dxa"/>
            <w:tcBorders>
              <w:top w:val="single" w:color="000000" w:sz="4" w:space="0"/>
              <w:left w:val="single" w:color="000000" w:sz="4" w:space="0"/>
              <w:bottom w:val="single" w:color="000000" w:sz="4" w:space="0"/>
            </w:tcBorders>
            <w:noWrap w:val="0"/>
            <w:vAlign w:val="center"/>
          </w:tcPr>
          <w:p w14:paraId="6E9B7AC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F7C4A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7D63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7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9C0AE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227D3">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D59183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交流</w:t>
            </w:r>
          </w:p>
          <w:p w14:paraId="63668CD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合作</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63E01939">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开展对外交流合作，建设工业旅游示范基地、校企合作实训基地、环保设施开放单位等。</w:t>
            </w:r>
          </w:p>
        </w:tc>
        <w:tc>
          <w:tcPr>
            <w:tcW w:w="6583" w:type="dxa"/>
            <w:tcBorders>
              <w:top w:val="single" w:color="000000" w:sz="4" w:space="0"/>
              <w:left w:val="single" w:color="000000" w:sz="4" w:space="0"/>
              <w:bottom w:val="single" w:color="000000" w:sz="4" w:space="0"/>
            </w:tcBorders>
            <w:noWrap w:val="0"/>
            <w:vAlign w:val="center"/>
          </w:tcPr>
          <w:p w14:paraId="27F36CC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D8DF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F52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58"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906B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6A78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2C65DA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厂区绿化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6CE8C1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工厂在集约高效利用土地资源的基础上，因地制宜适当开展绿化美化。</w:t>
            </w:r>
          </w:p>
        </w:tc>
        <w:tc>
          <w:tcPr>
            <w:tcW w:w="6583" w:type="dxa"/>
            <w:tcBorders>
              <w:top w:val="single" w:color="000000" w:sz="4" w:space="0"/>
              <w:left w:val="single" w:color="000000" w:sz="4" w:space="0"/>
              <w:bottom w:val="single" w:color="000000" w:sz="4" w:space="0"/>
            </w:tcBorders>
            <w:noWrap w:val="0"/>
            <w:vAlign w:val="center"/>
          </w:tcPr>
          <w:p w14:paraId="12116F6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厂区内植物修剪非常整齐、生长态势非常好，得满分；植物修剪较整齐、生长态势较好，得3分；植物修剪整齐、生长态势一般，得1分；未提供者，不得分。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5D47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905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2E2D7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21</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899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0AC51B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景观设施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4D137D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工厂在集约高效利用土地资源的基础上，因地制宜适当设置水系、休闲步道、雕塑、亭台、廊架等景观设施。</w:t>
            </w:r>
          </w:p>
        </w:tc>
        <w:tc>
          <w:tcPr>
            <w:tcW w:w="6583" w:type="dxa"/>
            <w:tcBorders>
              <w:top w:val="single" w:color="000000" w:sz="4" w:space="0"/>
              <w:left w:val="single" w:color="000000" w:sz="4" w:space="0"/>
              <w:bottom w:val="single" w:color="000000" w:sz="4" w:space="0"/>
            </w:tcBorders>
            <w:noWrap w:val="0"/>
            <w:vAlign w:val="center"/>
          </w:tcPr>
          <w:p w14:paraId="6681E7B3">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厂区布置与厂区主体风格协调的景观设施并且维护完好，得2分；有景观设施，设施品质和维护一般，得1分；未提供者，不得分。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1BD0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E14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B0FC8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6362E0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color w:val="000000"/>
                <w:sz w:val="28"/>
                <w:szCs w:val="28"/>
                <w:u w:val="none"/>
              </w:rPr>
            </w:pPr>
            <w:r>
              <w:rPr>
                <w:rFonts w:hint="eastAsia" w:ascii="仿宋_GB2312" w:hAnsi="仿宋_GB2312" w:eastAsia="仿宋_GB2312" w:cs="仿宋_GB2312"/>
                <w:i w:val="0"/>
                <w:iCs/>
                <w:color w:val="000000"/>
                <w:spacing w:val="-6"/>
                <w:kern w:val="0"/>
                <w:sz w:val="28"/>
                <w:szCs w:val="28"/>
                <w:u w:val="none"/>
                <w:lang w:val="en-US" w:eastAsia="zh-CN" w:bidi="ar"/>
              </w:rPr>
              <w:t>各美其美</w:t>
            </w:r>
            <w:r>
              <w:rPr>
                <w:rFonts w:hint="eastAsia" w:ascii="仿宋_GB2312" w:hAnsi="仿宋_GB2312" w:eastAsia="仿宋_GB2312" w:cs="仿宋_GB2312"/>
                <w:i w:val="0"/>
                <w:iCs/>
                <w:color w:val="000000"/>
                <w:spacing w:val="-6"/>
                <w:kern w:val="0"/>
                <w:sz w:val="28"/>
                <w:szCs w:val="28"/>
                <w:u w:val="none"/>
                <w:lang w:val="en-US" w:eastAsia="zh-CN" w:bidi="ar"/>
              </w:rPr>
              <w:br w:type="textWrapping"/>
            </w:r>
            <w:r>
              <w:rPr>
                <w:rFonts w:hint="eastAsia" w:ascii="仿宋_GB2312" w:hAnsi="仿宋_GB2312" w:eastAsia="仿宋_GB2312" w:cs="仿宋_GB2312"/>
                <w:i w:val="0"/>
                <w:iCs/>
                <w:color w:val="000000"/>
                <w:spacing w:val="-6"/>
                <w:kern w:val="0"/>
                <w:sz w:val="28"/>
                <w:szCs w:val="28"/>
                <w:u w:val="none"/>
                <w:lang w:val="en-US" w:eastAsia="zh-CN" w:bidi="ar"/>
              </w:rPr>
              <w:t>（附加分10分）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300D59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其他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44D8340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工厂在绿色发展、生态环境、城乡宜居、人文传承等方面实施的其他亮点突出、特色鲜明的项目。</w:t>
            </w:r>
          </w:p>
        </w:tc>
        <w:tc>
          <w:tcPr>
            <w:tcW w:w="6583" w:type="dxa"/>
            <w:tcBorders>
              <w:top w:val="single" w:color="000000" w:sz="4" w:space="0"/>
              <w:left w:val="single" w:color="000000" w:sz="4" w:space="0"/>
              <w:bottom w:val="single" w:color="000000" w:sz="4" w:space="0"/>
            </w:tcBorders>
            <w:noWrap w:val="0"/>
            <w:vAlign w:val="center"/>
          </w:tcPr>
          <w:p w14:paraId="4158366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根据企业相关项目实施情况酌情给分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3EEA62">
            <w:pPr>
              <w:keepNext w:val="0"/>
              <w:keepLines w:val="0"/>
              <w:widowControl/>
              <w:suppressLineNumbers w:val="0"/>
              <w:snapToGrid w:val="0"/>
              <w:spacing w:line="300" w:lineRule="atLeast"/>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cs="仿宋_GB2312"/>
                <w:i w:val="0"/>
                <w:color w:val="000000"/>
                <w:spacing w:val="-6"/>
                <w:kern w:val="0"/>
                <w:sz w:val="28"/>
                <w:szCs w:val="28"/>
                <w:u w:val="none"/>
                <w:lang w:val="en-US" w:eastAsia="zh-CN" w:bidi="ar"/>
              </w:rPr>
              <w:t>10</w:t>
            </w:r>
          </w:p>
        </w:tc>
      </w:tr>
    </w:tbl>
    <w:p w14:paraId="2BE7F7B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01C1"/>
    <w:rsid w:val="02E90C11"/>
    <w:rsid w:val="07591857"/>
    <w:rsid w:val="091F2D9D"/>
    <w:rsid w:val="2F8F3F29"/>
    <w:rsid w:val="49EA0A85"/>
    <w:rsid w:val="4C906D66"/>
    <w:rsid w:val="60BA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qFormat/>
    <w:uiPriority w:val="0"/>
    <w:pPr>
      <w:keepNext/>
      <w:keepLines/>
      <w:spacing w:line="480" w:lineRule="exact"/>
      <w:jc w:val="center"/>
      <w:outlineLvl w:val="0"/>
    </w:pPr>
    <w:rPr>
      <w:rFonts w:ascii="Times New Roman" w:hAnsi="Times New Roman" w:eastAsia="方正小标宋_GBK" w:cs="Times New Roman"/>
      <w:bCs/>
      <w:kern w:val="44"/>
      <w:sz w:val="32"/>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next w:val="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8">
    <w:name w:val="page number"/>
    <w:basedOn w:val="7"/>
    <w:qFormat/>
    <w:uiPriority w:val="0"/>
  </w:style>
  <w:style w:type="paragraph" w:customStyle="1" w:styleId="9">
    <w:name w:val="样式1"/>
    <w:basedOn w:val="3"/>
    <w:qFormat/>
    <w:uiPriority w:val="0"/>
    <w:pPr>
      <w:spacing w:line="400" w:lineRule="exact"/>
    </w:pPr>
    <w:rPr>
      <w:rFonts w:ascii="黑体" w:hAnsi="黑体" w:eastAsia="宋体"/>
      <w:bCs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3003</Words>
  <Characters>3199</Characters>
  <Lines>0</Lines>
  <Paragraphs>0</Paragraphs>
  <TotalTime>7</TotalTime>
  <ScaleCrop>false</ScaleCrop>
  <LinksUpToDate>false</LinksUpToDate>
  <CharactersWithSpaces>3208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2025-12-18T03:23:00Z</dcterms:created>
  <dc:creator>quwei</dc:creator>
  <cp:lastModifiedBy>Vivian</cp:lastModifiedBy>
  <dcterms:modified xsi:type="dcterms:W3CDTF">2026-01-29T01:49:26Z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EDD80E7871E14906809F8BDBD0342C5D_12</vt:lpwstr>
  </property>
</Properties>
</file>