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5F41C">
      <w:pPr>
        <w:autoSpaceDE w:val="0"/>
        <w:autoSpaceDN w:val="0"/>
        <w:spacing w:before="52" w:line="560" w:lineRule="exact"/>
        <w:ind w:left="158"/>
        <w:jc w:val="left"/>
        <w:rPr>
          <w:rFonts w:hint="eastAsia" w:ascii="黑体" w:hAnsi="黑体" w:eastAsia="黑体" w:cs="黑体"/>
          <w:w w:val="10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5"/>
          <w:sz w:val="32"/>
          <w:szCs w:val="32"/>
        </w:rPr>
        <w:t>附件</w:t>
      </w:r>
      <w:r>
        <w:rPr>
          <w:rFonts w:hint="eastAsia" w:ascii="黑体" w:hAnsi="黑体" w:eastAsia="黑体" w:cs="黑体"/>
          <w:w w:val="105"/>
          <w:sz w:val="32"/>
          <w:szCs w:val="32"/>
          <w:lang w:val="en-US" w:eastAsia="zh-CN"/>
        </w:rPr>
        <w:t>2</w:t>
      </w:r>
    </w:p>
    <w:p w14:paraId="4ECE8A0C">
      <w:pPr>
        <w:pStyle w:val="4"/>
        <w:rPr>
          <w:sz w:val="10"/>
          <w:szCs w:val="10"/>
        </w:rPr>
      </w:pPr>
    </w:p>
    <w:p w14:paraId="7C267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北京市第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批第一年国家级专精特新“小巨人”企业高质量发展项目验收申报指南</w:t>
      </w:r>
    </w:p>
    <w:p w14:paraId="46EF1D85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8D385A7">
      <w:pPr>
        <w:spacing w:afterLines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根据《财政部 工业和信息化部关于支持“专精特新”中小企业高质量发展的通知》（财建〔2021〕2号）、《北京市第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批专精特新“小巨人”企业高质量发展项目申报指南》等要求，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北京市上一轮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批第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年国家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专精特新“小巨人”企业高质量发展项目申报工作，具体内容如下。</w:t>
      </w:r>
    </w:p>
    <w:p w14:paraId="3575F7AF">
      <w:pPr>
        <w:pStyle w:val="2"/>
        <w:spacing w:before="0" w:after="0" w:afterLines="0" w:line="560" w:lineRule="exact"/>
        <w:ind w:firstLine="0" w:firstLineChars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一、</w:t>
      </w:r>
      <w:r>
        <w:rPr>
          <w:rFonts w:hint="eastAsia" w:ascii="Times New Roman" w:hAnsi="Times New Roman"/>
          <w:b w:val="0"/>
          <w:bCs w:val="0"/>
        </w:rPr>
        <w:t>验收</w:t>
      </w:r>
      <w:r>
        <w:rPr>
          <w:rFonts w:ascii="Times New Roman" w:hAnsi="Times New Roman"/>
          <w:b w:val="0"/>
          <w:bCs w:val="0"/>
        </w:rPr>
        <w:t>范围</w:t>
      </w:r>
    </w:p>
    <w:p w14:paraId="513905C1">
      <w:pPr>
        <w:spacing w:afterLines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本市</w:t>
      </w:r>
      <w:r>
        <w:rPr>
          <w:rFonts w:hint="eastAsia" w:ascii="仿宋_GB2312" w:hAnsi="仿宋_GB2312" w:eastAsia="仿宋_GB2312" w:cs="仿宋_GB2312"/>
          <w:sz w:val="32"/>
          <w:szCs w:val="32"/>
        </w:rPr>
        <w:t>已获得第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批第一年高质量发展资金支持的技术成果产业化项目、产业链协同配套项目，均应按本指南要求完成项目验收工作。采用奖励方式支持的创新能力提升项目、数字化网络化智能化改造项目不需要进行验收。</w:t>
      </w:r>
    </w:p>
    <w:p w14:paraId="0BEDA315">
      <w:pPr>
        <w:pStyle w:val="2"/>
        <w:spacing w:before="0" w:after="0" w:afterLines="0" w:line="560" w:lineRule="exact"/>
        <w:ind w:firstLine="0" w:firstLineChars="0"/>
        <w:rPr>
          <w:rFonts w:ascii="Times New Roman" w:hAnsi="Times New Roman"/>
          <w:b w:val="0"/>
          <w:bCs w:val="0"/>
        </w:rPr>
      </w:pPr>
      <w:r>
        <w:rPr>
          <w:rFonts w:hint="default" w:ascii="Times New Roman" w:hAnsi="Times New Roman"/>
          <w:b w:val="0"/>
          <w:bCs w:val="0"/>
        </w:rPr>
        <w:t xml:space="preserve">    </w:t>
      </w:r>
      <w:r>
        <w:rPr>
          <w:rFonts w:hint="eastAsia" w:ascii="Times New Roman" w:hAnsi="Times New Roman"/>
          <w:b w:val="0"/>
          <w:bCs w:val="0"/>
        </w:rPr>
        <w:t>二</w:t>
      </w:r>
      <w:r>
        <w:rPr>
          <w:rFonts w:ascii="Times New Roman" w:hAnsi="Times New Roman"/>
          <w:b w:val="0"/>
          <w:bCs w:val="0"/>
        </w:rPr>
        <w:t>、</w:t>
      </w:r>
      <w:r>
        <w:rPr>
          <w:rFonts w:hint="eastAsia" w:ascii="Times New Roman" w:hAnsi="Times New Roman"/>
          <w:b w:val="0"/>
          <w:bCs w:val="0"/>
        </w:rPr>
        <w:t>验收要求</w:t>
      </w:r>
    </w:p>
    <w:p w14:paraId="48D00437">
      <w:pPr>
        <w:spacing w:afterLines="0"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技术成果产业化项目</w:t>
      </w:r>
    </w:p>
    <w:p w14:paraId="0EBE002E">
      <w:pPr>
        <w:spacing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项目按计划完成建设内容和投资额度，项目完成预期技术指标、生产能力、经济效益和社会效益，项目财务核算体系完整清晰，财政资金使用合规、账务处理规范。</w:t>
      </w:r>
    </w:p>
    <w:p w14:paraId="7A735521">
      <w:pPr>
        <w:spacing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通过验收，但验收阶段（第二阶段）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核定的支持投资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金额相比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第一阶段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核减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应退回或扣除第一阶段超额支持部分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99BAA99">
      <w:pPr>
        <w:spacing w:afterLines="0" w:line="560" w:lineRule="exact"/>
        <w:ind w:firstLine="640" w:firstLineChars="200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存在下列情况之一，不予通过验收，并退回第一阶段支持的资金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具体包括：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（1）未按合同要求完成计划建设内容，且实际投资低于计划投资80%的；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）未按合同书或变更调整审核意见要求完成项目计划的绩效目标，且低于50%；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）提供的验收文件、资料、数据不真实的；（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）项目知识产权存在纠纷尚未解决的。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其他验收不合格的情形。</w:t>
      </w:r>
    </w:p>
    <w:p w14:paraId="2A5604A9">
      <w:pPr>
        <w:spacing w:afterLines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产业链协同配套项目</w:t>
      </w:r>
    </w:p>
    <w:p w14:paraId="0A63B02E">
      <w:pPr>
        <w:spacing w:afterLines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项目按计划完成建设内容和投资额度，项目完成预期技术指标、生产能力等，项目产品/服务进入行业龙头企业产品/服务采购库。</w:t>
      </w:r>
    </w:p>
    <w:p w14:paraId="5FDAF5B7">
      <w:pPr>
        <w:spacing w:afterLines="0"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存在下列情况之一，不予通过验收，并退回第一阶段支持的资金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具体包括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（1）未按要求完成计划建设内容，且实际投资低于计划投资80%的；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）未按合同书或变更调整审核意见要求完成项目计划的绩效目标，且低于50%；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）开发期限内解除合同的；（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）提供的验收文件、合同、发票不真实的；（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）项目知识产权存在纠纷尚未解决的。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其他验收不合格的情形。</w:t>
      </w:r>
    </w:p>
    <w:p w14:paraId="29B2B779">
      <w:pPr>
        <w:pStyle w:val="2"/>
        <w:spacing w:before="0" w:after="0" w:afterLines="0" w:line="560" w:lineRule="exact"/>
        <w:ind w:firstLine="0" w:firstLineChars="0"/>
        <w:rPr>
          <w:rFonts w:ascii="Times New Roman" w:hAnsi="Times New Roman"/>
          <w:b w:val="0"/>
          <w:bCs w:val="0"/>
        </w:rPr>
      </w:pPr>
      <w:r>
        <w:rPr>
          <w:rFonts w:hint="default" w:ascii="Times New Roman" w:hAnsi="Times New Roman"/>
          <w:b w:val="0"/>
          <w:bCs w:val="0"/>
        </w:rPr>
        <w:t xml:space="preserve">    </w:t>
      </w:r>
      <w:r>
        <w:rPr>
          <w:rFonts w:hint="eastAsia" w:ascii="Times New Roman" w:hAnsi="Times New Roman"/>
          <w:b w:val="0"/>
          <w:bCs w:val="0"/>
        </w:rPr>
        <w:t>三</w:t>
      </w:r>
      <w:r>
        <w:rPr>
          <w:rFonts w:ascii="Times New Roman" w:hAnsi="Times New Roman"/>
          <w:b w:val="0"/>
          <w:bCs w:val="0"/>
        </w:rPr>
        <w:t>、</w:t>
      </w:r>
      <w:r>
        <w:rPr>
          <w:rFonts w:hint="eastAsia" w:ascii="Times New Roman" w:hAnsi="Times New Roman"/>
          <w:b w:val="0"/>
          <w:bCs w:val="0"/>
        </w:rPr>
        <w:t>验收程序</w:t>
      </w:r>
    </w:p>
    <w:p w14:paraId="4DED2FDE">
      <w:pPr>
        <w:spacing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项目验收以合同书为依据，采取文件审查或会议审查的方式。文件审查方式验收，由市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和信息化局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审核企业提交的项目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情况进行现场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查验</w:t>
      </w:r>
      <w:r>
        <w:rPr>
          <w:rFonts w:hint="eastAsia" w:ascii="仿宋_GB2312" w:hAnsi="仿宋_GB2312" w:eastAsia="仿宋_GB2312" w:cs="仿宋_GB2312"/>
          <w:sz w:val="32"/>
          <w:szCs w:val="32"/>
        </w:rPr>
        <w:t>。会议审查方式验收，由市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和信息化局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技术、经济（财务）、工程建设、项目管理等方面的专家成立项目验收组，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对验收项目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进行现场查验和会议审查，并出具验收意见。</w:t>
      </w:r>
    </w:p>
    <w:p w14:paraId="3AA9F55F">
      <w:pPr>
        <w:pStyle w:val="2"/>
        <w:spacing w:before="0" w:after="0" w:afterLines="0" w:line="560" w:lineRule="exact"/>
        <w:ind w:firstLine="0" w:firstLineChars="0"/>
        <w:rPr>
          <w:rFonts w:ascii="Times New Roman" w:hAnsi="Times New Roman"/>
          <w:b w:val="0"/>
          <w:bCs w:val="0"/>
        </w:rPr>
      </w:pPr>
      <w:r>
        <w:rPr>
          <w:rFonts w:hint="default" w:ascii="Times New Roman" w:hAnsi="Times New Roman"/>
          <w:b w:val="0"/>
          <w:bCs w:val="0"/>
        </w:rPr>
        <w:t xml:space="preserve">    </w:t>
      </w:r>
      <w:r>
        <w:rPr>
          <w:rFonts w:hint="eastAsia" w:ascii="Times New Roman" w:hAnsi="Times New Roman"/>
          <w:b w:val="0"/>
          <w:bCs w:val="0"/>
        </w:rPr>
        <w:t>四、其他工作要求</w:t>
      </w:r>
    </w:p>
    <w:p w14:paraId="0F6B2A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1.本次申报采取线上提交的方式</w:t>
      </w:r>
      <w:r>
        <w:rPr>
          <w:rFonts w:hint="default" w:ascii="仿宋_GB2312" w:hAnsi="仿宋_GB2312" w:eastAsia="仿宋_GB2312" w:cs="仿宋_GB2312"/>
          <w:sz w:val="32"/>
          <w:szCs w:val="32"/>
        </w:rPr>
        <w:t>进行申报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。项目单位按照本指南列明的申报资料清单（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-1）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24:00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通过“北京通企服版APP-首页-</w:t>
      </w:r>
      <w:r>
        <w:rPr>
          <w:rFonts w:hint="default" w:ascii="仿宋_GB2312" w:hAnsi="仿宋_GB2312" w:eastAsia="仿宋_GB2312" w:cs="仿宋_GB2312"/>
          <w:sz w:val="32"/>
          <w:szCs w:val="32"/>
        </w:rPr>
        <w:t>一体化申报平台-北京市第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sz w:val="32"/>
          <w:szCs w:val="32"/>
        </w:rPr>
        <w:t>批第一年国家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default" w:ascii="仿宋_GB2312" w:hAnsi="仿宋_GB2312" w:eastAsia="仿宋_GB2312" w:cs="仿宋_GB2312"/>
          <w:sz w:val="32"/>
          <w:szCs w:val="32"/>
        </w:rPr>
        <w:t>专精特新“小巨人”企业高质量发展项目验收-申报入口”或“北京市中小企业公共服务平台（www.smebj.cn）-首页-一体化申报平台-北京市第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sz w:val="32"/>
          <w:szCs w:val="32"/>
        </w:rPr>
        <w:t>批第一年国家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default" w:ascii="仿宋_GB2312" w:hAnsi="仿宋_GB2312" w:eastAsia="仿宋_GB2312" w:cs="仿宋_GB2312"/>
          <w:sz w:val="32"/>
          <w:szCs w:val="32"/>
        </w:rPr>
        <w:t>专精特新“小巨人”企业高质量发展项目验收-申报入口”进行提交申报。</w:t>
      </w:r>
    </w:p>
    <w:p w14:paraId="79C6A5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ascii="仿宋_GB2312" w:hAnsi="等线" w:eastAsia="仿宋_GB2312" w:cs="宋体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项目单位及其法人和负责人需对验收资料和相关证明文件的真实性、准确性和完整性负责。</w:t>
      </w:r>
      <w:r>
        <w:rPr>
          <w:rFonts w:hint="eastAsia" w:ascii="仿宋_GB2312" w:hAnsi="等线" w:eastAsia="仿宋_GB2312" w:cs="宋体"/>
          <w:sz w:val="32"/>
          <w:szCs w:val="32"/>
        </w:rPr>
        <w:t>逾期未提交</w:t>
      </w:r>
      <w:r>
        <w:rPr>
          <w:rFonts w:hint="eastAsia" w:ascii="仿宋_GB2312" w:hAnsi="等线" w:eastAsia="仿宋_GB2312" w:cs="宋体"/>
          <w:sz w:val="32"/>
          <w:szCs w:val="32"/>
          <w:lang w:val="en-US" w:eastAsia="zh-CN"/>
        </w:rPr>
        <w:t>验</w:t>
      </w:r>
      <w:bookmarkStart w:id="0" w:name="_GoBack"/>
      <w:bookmarkEnd w:id="0"/>
      <w:r>
        <w:rPr>
          <w:rFonts w:hint="eastAsia" w:ascii="仿宋_GB2312" w:hAnsi="等线" w:eastAsia="仿宋_GB2312" w:cs="宋体"/>
          <w:sz w:val="32"/>
          <w:szCs w:val="32"/>
          <w:lang w:val="en-US" w:eastAsia="zh-CN"/>
        </w:rPr>
        <w:t>收资料</w:t>
      </w:r>
      <w:r>
        <w:rPr>
          <w:rFonts w:hint="eastAsia" w:ascii="仿宋_GB2312" w:hAnsi="等线" w:eastAsia="仿宋_GB2312" w:cs="宋体"/>
          <w:sz w:val="32"/>
          <w:szCs w:val="32"/>
        </w:rPr>
        <w:t>的</w:t>
      </w:r>
      <w:r>
        <w:rPr>
          <w:rFonts w:hint="eastAsia" w:ascii="仿宋_GB2312" w:hAnsi="Times New Roman" w:eastAsia="仿宋_GB2312"/>
          <w:sz w:val="32"/>
          <w:szCs w:val="32"/>
        </w:rPr>
        <w:t>，项目单位应向市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经济和信息化局</w:t>
      </w:r>
      <w:r>
        <w:rPr>
          <w:rFonts w:hint="eastAsia" w:ascii="仿宋_GB2312" w:hAnsi="Times New Roman" w:eastAsia="仿宋_GB2312"/>
          <w:sz w:val="32"/>
          <w:szCs w:val="32"/>
        </w:rPr>
        <w:t>提出延迟验收申请，延迟验收的理由</w:t>
      </w:r>
      <w:r>
        <w:rPr>
          <w:rFonts w:hint="default" w:ascii="仿宋_GB2312" w:hAnsi="Times New Roman" w:eastAsia="仿宋_GB2312"/>
          <w:sz w:val="32"/>
          <w:szCs w:val="32"/>
        </w:rPr>
        <w:t>必须客观充分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经</w:t>
      </w:r>
      <w:r>
        <w:rPr>
          <w:rFonts w:hint="eastAsia" w:ascii="仿宋_GB2312" w:hAnsi="Times New Roman" w:eastAsia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经济和信息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化局</w:t>
      </w:r>
      <w:r>
        <w:rPr>
          <w:rFonts w:hint="eastAsia" w:ascii="仿宋_GB2312" w:eastAsia="仿宋_GB2312"/>
          <w:color w:val="auto"/>
          <w:sz w:val="32"/>
          <w:szCs w:val="32"/>
        </w:rPr>
        <w:t>批准后方可延期，延期时间不得超过</w:t>
      </w:r>
      <w:r>
        <w:rPr>
          <w:rFonts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个月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不得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晚于2025年9月15日提交验收资料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77737BAC">
      <w:pPr>
        <w:spacing w:after="0" w:afterLines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E9C50D">
      <w:pPr>
        <w:spacing w:after="0" w:afterLines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项目验收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</w:t>
      </w:r>
      <w:r>
        <w:rPr>
          <w:rFonts w:ascii="仿宋_GB2312" w:hAnsi="仿宋_GB2312" w:eastAsia="仿宋_GB2312" w:cs="仿宋_GB2312"/>
          <w:sz w:val="32"/>
          <w:szCs w:val="32"/>
        </w:rPr>
        <w:t>清单及相关附件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3E519D-75CA-44CC-B011-007418337F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164DCFB-7AA4-4E6F-B003-C7CCFEC9EBA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01A4C06-E47B-4B68-B256-47961FF14D8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3F759948-CA31-4859-9026-A7D7C7B12BA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84954BF-914D-4578-AA8F-E1F4FC53BE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34AA1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CD67FD">
                          <w:pPr>
                            <w:pStyle w:val="6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CD67FD">
                    <w:pPr>
                      <w:pStyle w:val="6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ZWVhMWVkZDgxZGYyNGY4ODlkZDNiNzhmYjNmNDQifQ=="/>
  </w:docVars>
  <w:rsids>
    <w:rsidRoot w:val="53F76C53"/>
    <w:rsid w:val="00097FDE"/>
    <w:rsid w:val="000C3E35"/>
    <w:rsid w:val="001B234B"/>
    <w:rsid w:val="0026031D"/>
    <w:rsid w:val="002F3152"/>
    <w:rsid w:val="004A427A"/>
    <w:rsid w:val="0055243F"/>
    <w:rsid w:val="0063102B"/>
    <w:rsid w:val="006D7785"/>
    <w:rsid w:val="007303EC"/>
    <w:rsid w:val="00746889"/>
    <w:rsid w:val="007B59DD"/>
    <w:rsid w:val="007C0DEF"/>
    <w:rsid w:val="009E1589"/>
    <w:rsid w:val="00A11BB8"/>
    <w:rsid w:val="00B01FA5"/>
    <w:rsid w:val="00B52FE1"/>
    <w:rsid w:val="00C5189D"/>
    <w:rsid w:val="00DC739E"/>
    <w:rsid w:val="00FA5042"/>
    <w:rsid w:val="00FE1803"/>
    <w:rsid w:val="012449E3"/>
    <w:rsid w:val="01D75C6F"/>
    <w:rsid w:val="04C01689"/>
    <w:rsid w:val="050D65F7"/>
    <w:rsid w:val="0B1B4548"/>
    <w:rsid w:val="0C413962"/>
    <w:rsid w:val="11B4723D"/>
    <w:rsid w:val="1AF82AAA"/>
    <w:rsid w:val="219D08AB"/>
    <w:rsid w:val="233C0236"/>
    <w:rsid w:val="287A1B35"/>
    <w:rsid w:val="2C1576C9"/>
    <w:rsid w:val="2D2A683B"/>
    <w:rsid w:val="2FFDCCF1"/>
    <w:rsid w:val="31D245A1"/>
    <w:rsid w:val="38A640A9"/>
    <w:rsid w:val="3ABB02C8"/>
    <w:rsid w:val="42E5528F"/>
    <w:rsid w:val="4410293E"/>
    <w:rsid w:val="4CEB667A"/>
    <w:rsid w:val="501716A5"/>
    <w:rsid w:val="50EF43D0"/>
    <w:rsid w:val="51CE151A"/>
    <w:rsid w:val="53F76C53"/>
    <w:rsid w:val="60A063AD"/>
    <w:rsid w:val="63613C46"/>
    <w:rsid w:val="6491626F"/>
    <w:rsid w:val="683B5B31"/>
    <w:rsid w:val="68831B76"/>
    <w:rsid w:val="77352A49"/>
    <w:rsid w:val="B9DDD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napToGrid w:val="0"/>
      <w:spacing w:before="340" w:after="330" w:line="600" w:lineRule="exact"/>
      <w:ind w:firstLine="643" w:firstLineChars="200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link w:val="14"/>
    <w:qFormat/>
    <w:uiPriority w:val="0"/>
    <w:rPr>
      <w:rFonts w:ascii="华文新魏" w:hAnsi="Times New Roman" w:eastAsia="华文新魏"/>
      <w:sz w:val="36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批注框文本 字符"/>
    <w:basedOn w:val="10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正文文本 字符"/>
    <w:basedOn w:val="10"/>
    <w:link w:val="4"/>
    <w:qFormat/>
    <w:uiPriority w:val="0"/>
    <w:rPr>
      <w:rFonts w:ascii="华文新魏" w:hAnsi="Times New Roman" w:eastAsia="华文新魏" w:cs="Times New Roman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1348</Words>
  <Characters>1394</Characters>
  <Lines>8</Lines>
  <Paragraphs>2</Paragraphs>
  <TotalTime>5</TotalTime>
  <ScaleCrop>false</ScaleCrop>
  <LinksUpToDate>false</LinksUpToDate>
  <CharactersWithSpaces>1411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2023-03-30T10:35:00Z</dcterms:created>
  <dc:creator>小福</dc:creator>
  <cp:lastModifiedBy>WPS_1690420078</cp:lastModifiedBy>
  <dcterms:modified xsi:type="dcterms:W3CDTF">2025-07-18T02:24:32Z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6B75CEAB3AC54E659BA37DE958AA6438_13</vt:lpwstr>
  </property>
  <property fmtid="{D5CDD505-2E9C-101B-9397-08002B2CF9AE}" pid="4" name="KSOTemplateDocerSaveRecord">
    <vt:lpwstr>eyJoZGlkIjoiNmMyMDk4M2VmMTM5MjVmMWY2ZjczYjM1NmFiNjlkY2YiLCJ1c2VySWQiOiIxNTE3MTI3MTQ0In0=</vt:lpwstr>
  </property>
</Properties>
</file>