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mc:AlternateContent>
        <mc:Choice Requires="wpsCustomData">
          <wpsCustomData:docfieldStart id="0" docfieldname="紧急程度" hidden="0" print="1" readonly="0"/>
        </mc:Choice>
      </mc:AlternateContent>
      <mc:AlternateContent>
        <mc:Choice Requires="wpsCustomData">
          <wpsCustomData:docfieldEnd id="0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0" w:firstLineChars="0"/>
        <w:jc w:val="center"/>
        <w:textAlignment w:val="center"/>
        <w:outlineLvl w:val="9"/>
        <w:rPr>
          <w:rFonts w:hint="eastAsia" w:ascii="方正小标宋简体" w:eastAsia="方正小标宋简体"/>
          <w:sz w:val="44"/>
          <w:szCs w:val="32"/>
          <w:highlight w:val="none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highlight w:val="none"/>
        </w:rPr>
        <w:t>北京市经济和信息化局</w:t>
      </w:r>
      <w:r>
        <w:rPr>
          <w:rFonts w:hint="default" w:ascii="方正小标宋简体" w:eastAsia="方正小标宋简体"/>
          <w:sz w:val="44"/>
          <w:szCs w:val="32"/>
          <w:highlight w:val="none"/>
        </w:rPr>
        <w:t xml:space="preserve"> </w:t>
      </w:r>
      <w:r>
        <w:rPr>
          <w:rFonts w:hint="eastAsia" w:ascii="方正小标宋简体" w:eastAsia="方正小标宋简体"/>
          <w:sz w:val="44"/>
          <w:szCs w:val="32"/>
          <w:highlight w:val="none"/>
          <w:lang w:eastAsia="zh-CN"/>
        </w:rPr>
        <w:t>北京市财政局</w:t>
      </w:r>
    </w:p>
    <w:p>
      <w:pPr>
        <w:spacing w:line="560" w:lineRule="exact"/>
        <w:ind w:firstLine="0" w:firstLineChars="0"/>
        <w:jc w:val="center"/>
        <w:textAlignment w:val="center"/>
        <w:rPr>
          <w:rFonts w:hint="eastAsia" w:ascii="方正小标宋简体" w:eastAsia="方正小标宋简体"/>
          <w:sz w:val="44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32"/>
          <w:highlight w:val="none"/>
        </w:rPr>
        <w:t>关于促进本市新型基础设施投资</w:t>
      </w:r>
      <w:r>
        <w:rPr>
          <w:rFonts w:hint="eastAsia" w:ascii="方正小标宋简体" w:eastAsia="方正小标宋简体"/>
          <w:sz w:val="44"/>
          <w:szCs w:val="32"/>
          <w:highlight w:val="none"/>
          <w:lang w:eastAsia="zh-CN"/>
        </w:rPr>
        <w:t>中</w:t>
      </w:r>
    </w:p>
    <w:p>
      <w:pPr>
        <w:spacing w:line="560" w:lineRule="exact"/>
        <w:ind w:firstLine="0" w:firstLineChars="0"/>
        <w:jc w:val="center"/>
        <w:textAlignment w:val="center"/>
        <w:rPr>
          <w:rFonts w:hint="eastAsia" w:ascii="方正小标宋简体" w:eastAsia="方正小标宋简体"/>
          <w:sz w:val="44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32"/>
          <w:highlight w:val="none"/>
        </w:rPr>
        <w:t>新技术新产品推广应用的若干措施</w:t>
      </w:r>
    </w:p>
    <w:p>
      <w:pPr>
        <w:spacing w:line="560" w:lineRule="exact"/>
        <w:ind w:firstLine="868" w:firstLineChars="200"/>
        <w:textAlignment w:val="center"/>
        <w:rPr>
          <w:rFonts w:hint="eastAsia" w:ascii="方正小标宋简体" w:eastAsia="方正小标宋简体"/>
          <w:sz w:val="44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601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为贯彻落实</w:t>
      </w:r>
      <w:r>
        <w:rPr>
          <w:rFonts w:hint="eastAsia"/>
          <w:sz w:val="32"/>
          <w:szCs w:val="32"/>
          <w:highlight w:val="none"/>
          <w:lang w:eastAsia="zh-CN"/>
        </w:rPr>
        <w:t>《</w:t>
      </w:r>
      <w:r>
        <w:rPr>
          <w:rFonts w:hint="eastAsia" w:ascii="Calibri" w:hAnsi="Calibri" w:eastAsia="仿宋_GB2312" w:cs="Times New Roman"/>
          <w:i w:val="0"/>
          <w:caps w:val="0"/>
          <w:spacing w:val="0"/>
          <w:sz w:val="32"/>
          <w:szCs w:val="32"/>
          <w:highlight w:val="none"/>
          <w:shd w:val="clear" w:color="auto" w:fill="auto"/>
        </w:rPr>
        <w:t>北京市统筹疫情防控和稳定经济增长的实施方案</w:t>
      </w:r>
      <w:r>
        <w:rPr>
          <w:rFonts w:hint="eastAsia"/>
          <w:sz w:val="32"/>
          <w:szCs w:val="32"/>
          <w:highlight w:val="none"/>
          <w:lang w:eastAsia="zh-CN"/>
        </w:rPr>
        <w:t>》（</w:t>
      </w:r>
      <w:r>
        <w:rPr>
          <w:rFonts w:hint="eastAsia" w:ascii="Calibri" w:hAnsi="Calibri" w:eastAsia="仿宋_GB2312" w:cs="Times New Roman"/>
          <w:i w:val="0"/>
          <w:caps w:val="0"/>
          <w:spacing w:val="0"/>
          <w:sz w:val="32"/>
          <w:szCs w:val="32"/>
          <w:highlight w:val="none"/>
        </w:rPr>
        <w:t>京政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highlight w:val="none"/>
        </w:rPr>
        <w:t>发〔2022〕23号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/>
          <w:sz w:val="32"/>
          <w:szCs w:val="32"/>
          <w:highlight w:val="none"/>
        </w:rPr>
        <w:t>，</w:t>
      </w:r>
      <w:r>
        <w:rPr>
          <w:rFonts w:hint="eastAsia"/>
          <w:sz w:val="32"/>
          <w:szCs w:val="32"/>
          <w:highlight w:val="none"/>
          <w:lang w:eastAsia="zh-CN"/>
        </w:rPr>
        <w:t>高水平推进</w:t>
      </w:r>
      <w:r>
        <w:rPr>
          <w:rFonts w:hint="eastAsia"/>
          <w:sz w:val="32"/>
          <w:szCs w:val="32"/>
          <w:highlight w:val="none"/>
        </w:rPr>
        <w:t>新型基础设施建设（以下</w:t>
      </w:r>
      <w:r>
        <w:rPr>
          <w:rFonts w:hint="eastAsia"/>
          <w:sz w:val="32"/>
          <w:szCs w:val="32"/>
          <w:highlight w:val="none"/>
          <w:lang w:eastAsia="zh-CN"/>
        </w:rPr>
        <w:t>简称</w:t>
      </w:r>
      <w:r>
        <w:rPr>
          <w:rFonts w:hint="eastAsia"/>
          <w:sz w:val="32"/>
          <w:szCs w:val="32"/>
          <w:highlight w:val="none"/>
        </w:rPr>
        <w:t>“新基建”），</w:t>
      </w:r>
      <w:r>
        <w:rPr>
          <w:rFonts w:hint="eastAsia"/>
          <w:sz w:val="32"/>
          <w:szCs w:val="32"/>
          <w:highlight w:val="none"/>
          <w:shd w:val="clear" w:color="auto" w:fill="FFFFFF"/>
          <w:lang w:eastAsia="zh-CN"/>
        </w:rPr>
        <w:t>加快</w:t>
      </w:r>
      <w:r>
        <w:rPr>
          <w:rFonts w:hint="eastAsia"/>
          <w:sz w:val="32"/>
          <w:szCs w:val="32"/>
          <w:highlight w:val="none"/>
          <w:lang w:eastAsia="zh-CN"/>
        </w:rPr>
        <w:t>培育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高质量发展新动能，特制定本措施。</w:t>
      </w:r>
    </w:p>
    <w:p>
      <w:pPr>
        <w:pStyle w:val="2"/>
        <w:keepNext w:val="0"/>
        <w:keepLines w:val="0"/>
        <w:pageBreakBefore w:val="0"/>
        <w:widowControl/>
        <w:tabs>
          <w:tab w:val="left" w:pos="601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本措施所指新基建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是以信息网络为基础，以技术创新为驱动，提供数字转型、智能升级、融合创新等方面的基础性、公共性设施，重点涵盖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四类：新型网络设施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包括5G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网络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、工业互联网、车联网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卫星互联网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和新型互联网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数据智能设施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包括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新型算力设施、云边端设施、人工智能设施和数据交易设施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生态系统设施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包括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共享开源平台、共性支撑软件等；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智慧应用设施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包括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智慧城市感知体系、超高清显示、智能工厂和氢能设施等。本措施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支持的对象为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本市注册经营的工业和软件信息服务业企业。</w:t>
      </w:r>
    </w:p>
    <w:p>
      <w:pPr>
        <w:pStyle w:val="2"/>
        <w:keepNext w:val="0"/>
        <w:keepLines w:val="0"/>
        <w:pageBreakBefore w:val="0"/>
        <w:widowControl/>
        <w:tabs>
          <w:tab w:val="left" w:pos="601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eastAsia="黑体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一、加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大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新基建项目谋划和建设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力度</w:t>
      </w:r>
    </w:p>
    <w:p>
      <w:pPr>
        <w:pStyle w:val="2"/>
        <w:keepNext w:val="0"/>
        <w:keepLines w:val="0"/>
        <w:pageBreakBefore w:val="0"/>
        <w:widowControl/>
        <w:tabs>
          <w:tab w:val="left" w:pos="601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全面加强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新基建项目统筹。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充实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北京市新基建重点项目库，强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化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对全市新基建项目统筹管理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和服务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鼓励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各区、各部门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建立项目台账，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符合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本措施重点支持方向且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总投资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达到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1000万元（含）以上的，原则上应纳入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市级重点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项目库，享受本措施支持的项目应为在库项目。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根据项目性质特点，择优推荐在库项目申报国家级或市级政策支持。</w:t>
      </w:r>
    </w:p>
    <w:p>
      <w:pPr>
        <w:pStyle w:val="2"/>
        <w:keepNext w:val="0"/>
        <w:keepLines w:val="0"/>
        <w:pageBreakBefore w:val="0"/>
        <w:widowControl/>
        <w:tabs>
          <w:tab w:val="left" w:pos="601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（二）加大新基建重大项目谋划。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各区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和相关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部门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要落实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市政府决策部署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，发掘区域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场景资源，积极谋划总投资2亿元以上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新基建重大投资项目，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加强市级部门资源协同，合力推动项目落地实施。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对项目谋划成效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明显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的区，优先推荐市发展改革委给予重大投资项目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前期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工作经费支持。</w:t>
      </w:r>
    </w:p>
    <w:p>
      <w:pPr>
        <w:pStyle w:val="2"/>
        <w:keepNext w:val="0"/>
        <w:keepLines w:val="0"/>
        <w:pageBreakBefore w:val="0"/>
        <w:widowControl/>
        <w:tabs>
          <w:tab w:val="left" w:pos="601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二、支持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新基建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创新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攻关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新主体新平台培育</w:t>
      </w:r>
    </w:p>
    <w:p>
      <w:pPr>
        <w:pStyle w:val="2"/>
        <w:keepNext w:val="0"/>
        <w:keepLines w:val="0"/>
        <w:pageBreakBefore w:val="0"/>
        <w:widowControl/>
        <w:tabs>
          <w:tab w:val="left" w:pos="601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）支持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新技术新产品攻关和标准创制。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新基建重点项目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牵头单位可作为产业链龙头企业参与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高精尖产业筑基工程，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梳理项目建设中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紧缺急需的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关键技术产品，提出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涵盖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产品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攻关和标准创制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的攻关榜单，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高精尖产业发展资金对新技术新产品给予首试用补贴、攻关投资补贴、贷款贴息等方式支持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，单个项目支持金额最高不超过3000万元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（四）支持新基建项目面向中小企业开放场景。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鼓励在库新基建项目扩大场景开放，支持拥有新技术新产品的中小企业参与新基建项目建设。鼓励面向中小企业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围绕新技术新产品新场景建设测试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验证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第三方公共服务平台，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对符合条件的平台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给予不超过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的建设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，单个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平台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建设补贴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最高不超过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00万元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；对提供服务绩效突出、优质优价的平台给予一定服务奖励。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支持平台企业参与智慧城市建设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建立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智慧城市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场景清单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公开征集、评审入库、动态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、多方联动的迭代更新机制，鼓励平台企业采用“揭榜挂帅”“毛遂自荐”等方式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承接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场景开放试点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对成效显著的优先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向全市推广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采用数据专区等安全可信方式，面向平台企业有序对接健康宝、城市运行等方面数据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，支持平台企业加速技术研发突破。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8" w:firstLineChars="200"/>
        <w:textAlignment w:val="center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加强新基建全生命周期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关键节点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差异化支持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支持创新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体验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中心和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场景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实验室建设。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处于技术方案设计或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商业化探索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阶段的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新基建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鼓励社会资本投资搭建创新体验中心和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场景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实验室，开展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前沿新技术新产品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和解决方案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的展示体验，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项目投资额的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0%给予补贴，单个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补贴最高不超过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支持新技术新产品小批量验证。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重点围绕已通过体验和实验阶段的新技术新产品，鼓励新基建建设单位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或新技术新产品提供单位开展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小批量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产品实际工况、环境、场景等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测试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验证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进一步提高技术产品的适配性能和产业化水平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小批量测试投资额的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给予补贴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，单个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最高不超过1000万元。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jc w:val="both"/>
        <w:textAlignment w:val="center"/>
        <w:outlineLvl w:val="9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八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支持新技术新产品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规模化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推广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应用。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支持已通过测试验证、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具备产业化条件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的新技术新产品扩大市场应用，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建立动态管理的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数字经济标杆技术清单和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筑基工程攻关产品清单，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  <w:t>对采购新技术新产品的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  <w:t>投保企业按照不超过相关保费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的50％给予补贴，单个企业最高补贴不超过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1000万元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。对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在库新基建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应用两清单内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新技术新产品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的，按照不超过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项目投资额的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30%给予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补贴，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>单个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项目补贴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>最高不超过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>000万元。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拓展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投融资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渠道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支持新基建项目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8" w:firstLineChars="200"/>
        <w:textAlignment w:val="center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）加大政府投资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引导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力度。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高精尖产业基金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等各类政府引导基金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，对新基建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领域的新技术新产品和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重点项目进行股权投资。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鼓励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本市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 w:bidi="ar"/>
        </w:rPr>
        <w:t>新基建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重点领域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 w:bidi="ar"/>
        </w:rPr>
        <w:t>建设主体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探索发行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新基建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不动产投资信托基金（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REITs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）产品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，对运营期分红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可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按照国家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有关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规定享受企业所得税优惠。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对新基建重点领域中有一定收益的公益性资本项目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优先推荐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纳入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本市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地方政府专项债券支持。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center"/>
        <w:outlineLvl w:val="9"/>
        <w:rPr>
          <w:rFonts w:ascii="仿宋_GB2312" w:hAnsi="仿宋_GB2312" w:cs="仿宋_GB2312"/>
          <w:sz w:val="32"/>
          <w:szCs w:val="32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提高金融信贷服务水平。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建立与金融机构常态化政策信息共享和项目互推机制，鼓励金融机构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 w:bidi="ar"/>
        </w:rPr>
        <w:t>对入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库项目提供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研发贷款、流动资金贷款或固定资产投资贷款等定制化产品，在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 w:bidi="ar"/>
        </w:rPr>
        <w:t>信贷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规模、贷款利率、审批流程方面给予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更加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优惠快捷支持。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已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入库且工业和软件信息服务业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年度纳统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投资达到一定规模的项目，给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 w:bidi="ar"/>
        </w:rPr>
        <w:t>不超过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2%的固定资产投资贷款贴息支持，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 w:bidi="ar"/>
        </w:rPr>
        <w:t>单个项目支持</w:t>
      </w:r>
      <w:r>
        <w:rPr>
          <w:rFonts w:hint="eastAsia" w:ascii="仿宋_GB2312" w:hAnsi="仿宋_GB2312" w:cs="仿宋_GB2312"/>
          <w:sz w:val="32"/>
          <w:szCs w:val="32"/>
          <w:highlight w:val="none"/>
          <w:lang w:bidi="ar"/>
        </w:rPr>
        <w:t>最高不超过1000万元。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left"/>
        <w:outlineLvl w:val="9"/>
        <w:rPr>
          <w:rFonts w:hint="eastAsi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 w:bidi="ar"/>
        </w:rPr>
        <w:t>本措施自发布之日起实施，在2022-2024年内有效。</w:t>
      </w:r>
      <mc:AlternateContent>
        <mc:Choice Requires="wpsCustomData">
          <wpsCustomData:docfieldStart id="1" docfieldname="版记" hidden="0" print="1" readonly="0"/>
        </mc:Choice>
      </mc:AlternateContent>
      <mc:AlternateContent>
        <mc:Choice Requires="wpsCustomData">
          <wpsCustomData:docfieldEnd id="1"/>
        </mc:Choice>
      </mc:AlternateContent>
    </w:p>
    <w:sectPr>
      <w:footerReference r:id="rId3" w:type="default"/>
      <w:footerReference r:id="rId4" w:type="even"/>
      <w:pgSz w:w="11906" w:h="16838"/>
      <w:pgMar w:top="1962" w:right="1474" w:bottom="1848" w:left="1587" w:header="851" w:footer="104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spacing w:line="471" w:lineRule="auto"/>
      <w:ind w:right="-1" w:rightChars="100"/>
      <w:jc w:val="right"/>
      <w:rPr>
        <w:rFonts w:hint="eastAsia" w:ascii="楷体_GB2312" w:eastAsia="楷体_GB2312"/>
        <w:sz w:val="28"/>
      </w:rPr>
    </w:pPr>
    <w:r>
      <w:rPr>
        <w:rStyle w:val="8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8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471" w:lineRule="auto"/>
      <w:ind w:left="-1" w:leftChars="100"/>
      <w:jc w:val="left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8"/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abstractNum w:abstractNumId="1">
    <w:nsid w:val="51157DD0"/>
    <w:multiLevelType w:val="singleLevel"/>
    <w:tmpl w:val="51157D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evenAndOddHeaders w:val="1"/>
  <w:drawingGridHorizontalSpacing w:val="30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7ABFA290"/>
    <w:rsid w:val="006A0FEA"/>
    <w:rsid w:val="0082733A"/>
    <w:rsid w:val="02353229"/>
    <w:rsid w:val="02683E29"/>
    <w:rsid w:val="035303B0"/>
    <w:rsid w:val="0354471B"/>
    <w:rsid w:val="04B0246E"/>
    <w:rsid w:val="04E0470D"/>
    <w:rsid w:val="065E0402"/>
    <w:rsid w:val="06B23D6E"/>
    <w:rsid w:val="06D40C09"/>
    <w:rsid w:val="06E0766D"/>
    <w:rsid w:val="06EB12B3"/>
    <w:rsid w:val="07510C8F"/>
    <w:rsid w:val="07556118"/>
    <w:rsid w:val="08C82627"/>
    <w:rsid w:val="0AAF3172"/>
    <w:rsid w:val="0AE86E05"/>
    <w:rsid w:val="0B720CB2"/>
    <w:rsid w:val="0C0B2D5C"/>
    <w:rsid w:val="0C28596B"/>
    <w:rsid w:val="0C337638"/>
    <w:rsid w:val="0C4C1E21"/>
    <w:rsid w:val="0C624F17"/>
    <w:rsid w:val="0DC17C9E"/>
    <w:rsid w:val="0E381A8E"/>
    <w:rsid w:val="0E740E61"/>
    <w:rsid w:val="0F051AC8"/>
    <w:rsid w:val="0F1E59DC"/>
    <w:rsid w:val="0F9159A5"/>
    <w:rsid w:val="0F9F79E5"/>
    <w:rsid w:val="10090EB2"/>
    <w:rsid w:val="10992855"/>
    <w:rsid w:val="129652E7"/>
    <w:rsid w:val="134D6FF3"/>
    <w:rsid w:val="14827731"/>
    <w:rsid w:val="17E1057B"/>
    <w:rsid w:val="18FC210A"/>
    <w:rsid w:val="1AFD2B54"/>
    <w:rsid w:val="1B486B8B"/>
    <w:rsid w:val="1BDC3C40"/>
    <w:rsid w:val="1C2107EB"/>
    <w:rsid w:val="1C882763"/>
    <w:rsid w:val="1E7E2B16"/>
    <w:rsid w:val="20134C1D"/>
    <w:rsid w:val="207548E6"/>
    <w:rsid w:val="219D1169"/>
    <w:rsid w:val="223262FD"/>
    <w:rsid w:val="22BB7007"/>
    <w:rsid w:val="22E070C6"/>
    <w:rsid w:val="2493646C"/>
    <w:rsid w:val="253B4E3C"/>
    <w:rsid w:val="25BD0EF9"/>
    <w:rsid w:val="25DE1708"/>
    <w:rsid w:val="25E86D9E"/>
    <w:rsid w:val="25EB5B45"/>
    <w:rsid w:val="268B284C"/>
    <w:rsid w:val="27AD5FBC"/>
    <w:rsid w:val="28A740F5"/>
    <w:rsid w:val="28F770C2"/>
    <w:rsid w:val="29CC039F"/>
    <w:rsid w:val="2A0321A1"/>
    <w:rsid w:val="2A8D1D2B"/>
    <w:rsid w:val="2D0C1AF6"/>
    <w:rsid w:val="2D5B73AE"/>
    <w:rsid w:val="2DBC0615"/>
    <w:rsid w:val="2EEEE2FA"/>
    <w:rsid w:val="2F753137"/>
    <w:rsid w:val="31557E7B"/>
    <w:rsid w:val="31E267E6"/>
    <w:rsid w:val="325F6603"/>
    <w:rsid w:val="32C93BCA"/>
    <w:rsid w:val="341F6A59"/>
    <w:rsid w:val="34B67588"/>
    <w:rsid w:val="34C50171"/>
    <w:rsid w:val="35913B90"/>
    <w:rsid w:val="35FB0270"/>
    <w:rsid w:val="3698771E"/>
    <w:rsid w:val="371E089E"/>
    <w:rsid w:val="386E78AD"/>
    <w:rsid w:val="391F0440"/>
    <w:rsid w:val="39887393"/>
    <w:rsid w:val="3C543787"/>
    <w:rsid w:val="3CEFA104"/>
    <w:rsid w:val="3D873820"/>
    <w:rsid w:val="3DD209D6"/>
    <w:rsid w:val="3E1B0B74"/>
    <w:rsid w:val="3E4E4360"/>
    <w:rsid w:val="3F7F6C24"/>
    <w:rsid w:val="40DE31A0"/>
    <w:rsid w:val="412E4C7F"/>
    <w:rsid w:val="413A4C0D"/>
    <w:rsid w:val="416076DC"/>
    <w:rsid w:val="418B331E"/>
    <w:rsid w:val="418B3713"/>
    <w:rsid w:val="430960D4"/>
    <w:rsid w:val="43A8628C"/>
    <w:rsid w:val="44562135"/>
    <w:rsid w:val="445709AF"/>
    <w:rsid w:val="449E50E2"/>
    <w:rsid w:val="44D14E73"/>
    <w:rsid w:val="452D770D"/>
    <w:rsid w:val="45B71977"/>
    <w:rsid w:val="45F47273"/>
    <w:rsid w:val="46086A3D"/>
    <w:rsid w:val="47307DD7"/>
    <w:rsid w:val="47D04DD3"/>
    <w:rsid w:val="487D16AC"/>
    <w:rsid w:val="48ED7BD1"/>
    <w:rsid w:val="49287F12"/>
    <w:rsid w:val="495F55D3"/>
    <w:rsid w:val="499524F4"/>
    <w:rsid w:val="4AC80520"/>
    <w:rsid w:val="4AF128A8"/>
    <w:rsid w:val="4B86602A"/>
    <w:rsid w:val="4BEB429E"/>
    <w:rsid w:val="4C3B600E"/>
    <w:rsid w:val="4CD447B5"/>
    <w:rsid w:val="4E373307"/>
    <w:rsid w:val="4E75200F"/>
    <w:rsid w:val="4E881D37"/>
    <w:rsid w:val="4FD8612C"/>
    <w:rsid w:val="50BD4249"/>
    <w:rsid w:val="50EF74D3"/>
    <w:rsid w:val="51704512"/>
    <w:rsid w:val="52654633"/>
    <w:rsid w:val="53FE19FD"/>
    <w:rsid w:val="54712998"/>
    <w:rsid w:val="56A03DE8"/>
    <w:rsid w:val="58CB6A3A"/>
    <w:rsid w:val="596D709C"/>
    <w:rsid w:val="59AB7E87"/>
    <w:rsid w:val="5A3F765E"/>
    <w:rsid w:val="5A930561"/>
    <w:rsid w:val="5B8416DA"/>
    <w:rsid w:val="5C3A545D"/>
    <w:rsid w:val="5CE02B88"/>
    <w:rsid w:val="5CFE6BBD"/>
    <w:rsid w:val="5D432A17"/>
    <w:rsid w:val="5E0D9E81"/>
    <w:rsid w:val="5F6C1307"/>
    <w:rsid w:val="5FFA6CA8"/>
    <w:rsid w:val="6346773F"/>
    <w:rsid w:val="637D5ACA"/>
    <w:rsid w:val="656C64A8"/>
    <w:rsid w:val="65BF5C73"/>
    <w:rsid w:val="65CD6D3C"/>
    <w:rsid w:val="665541AD"/>
    <w:rsid w:val="66D324A5"/>
    <w:rsid w:val="67422CA3"/>
    <w:rsid w:val="67627754"/>
    <w:rsid w:val="676E37C1"/>
    <w:rsid w:val="67D15A64"/>
    <w:rsid w:val="687605C0"/>
    <w:rsid w:val="68EE3CD9"/>
    <w:rsid w:val="6B146ABA"/>
    <w:rsid w:val="6BED679D"/>
    <w:rsid w:val="6BF73C15"/>
    <w:rsid w:val="6C4C58BD"/>
    <w:rsid w:val="6D05506C"/>
    <w:rsid w:val="6EF9B4AD"/>
    <w:rsid w:val="71C21AFA"/>
    <w:rsid w:val="721F23D6"/>
    <w:rsid w:val="73B373B1"/>
    <w:rsid w:val="74BF7515"/>
    <w:rsid w:val="766772D7"/>
    <w:rsid w:val="7701204E"/>
    <w:rsid w:val="775E6259"/>
    <w:rsid w:val="77AFBBA8"/>
    <w:rsid w:val="77AFBC03"/>
    <w:rsid w:val="77CBF36F"/>
    <w:rsid w:val="78BE1FA4"/>
    <w:rsid w:val="7ABFA290"/>
    <w:rsid w:val="7B10EFA2"/>
    <w:rsid w:val="7B835FAF"/>
    <w:rsid w:val="7BBF8AB1"/>
    <w:rsid w:val="7C6BDF18"/>
    <w:rsid w:val="7C7438D3"/>
    <w:rsid w:val="7CD136D3"/>
    <w:rsid w:val="7DDE7907"/>
    <w:rsid w:val="7DFE66C3"/>
    <w:rsid w:val="7E9C05BD"/>
    <w:rsid w:val="7ECA128F"/>
    <w:rsid w:val="7ED3D862"/>
    <w:rsid w:val="7ED5519F"/>
    <w:rsid w:val="7F4EE84B"/>
    <w:rsid w:val="7F6FC608"/>
    <w:rsid w:val="7F7F660A"/>
    <w:rsid w:val="7FDE1157"/>
    <w:rsid w:val="7FDFC1F0"/>
    <w:rsid w:val="7FFD86B5"/>
    <w:rsid w:val="9EEFB4A4"/>
    <w:rsid w:val="B6BF5AD6"/>
    <w:rsid w:val="B9D78FF1"/>
    <w:rsid w:val="BD9FBCFD"/>
    <w:rsid w:val="BDEE67A0"/>
    <w:rsid w:val="BF375114"/>
    <w:rsid w:val="BF678A4C"/>
    <w:rsid w:val="BFB70EB5"/>
    <w:rsid w:val="C97E8122"/>
    <w:rsid w:val="CF938EDD"/>
    <w:rsid w:val="D9D75212"/>
    <w:rsid w:val="DA9A9025"/>
    <w:rsid w:val="DDED877D"/>
    <w:rsid w:val="DFF964E7"/>
    <w:rsid w:val="DFFF5D5F"/>
    <w:rsid w:val="E5FE8966"/>
    <w:rsid w:val="EBFFF16F"/>
    <w:rsid w:val="EC77F2F5"/>
    <w:rsid w:val="EFF76C0E"/>
    <w:rsid w:val="EFFCBC21"/>
    <w:rsid w:val="F317D126"/>
    <w:rsid w:val="F4F77B6C"/>
    <w:rsid w:val="F677E11A"/>
    <w:rsid w:val="F7FD38D8"/>
    <w:rsid w:val="F8FD665B"/>
    <w:rsid w:val="F9D1C7A8"/>
    <w:rsid w:val="FB2D88C0"/>
    <w:rsid w:val="FB7F1893"/>
    <w:rsid w:val="FBF8860C"/>
    <w:rsid w:val="FD7F9208"/>
    <w:rsid w:val="FE3E6AB7"/>
    <w:rsid w:val="FE7B65DB"/>
    <w:rsid w:val="FE7F78F8"/>
    <w:rsid w:val="FFB9BFA3"/>
    <w:rsid w:val="FFD8609E"/>
    <w:rsid w:val="FFEFED85"/>
    <w:rsid w:val="FFF7D81D"/>
    <w:rsid w:val="FFFBA542"/>
    <w:rsid w:val="FFFED7D6"/>
    <w:rsid w:val="FFFF76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both"/>
      <w:textAlignment w:val="baseline"/>
    </w:pPr>
    <w:rPr>
      <w:rFonts w:ascii="Calibri" w:hAnsi="Calibri" w:eastAsia="仿宋_GB2312"/>
      <w:kern w:val="2"/>
      <w:sz w:val="28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line number"/>
    <w:basedOn w:val="7"/>
    <w:qFormat/>
    <w:uiPriority w:val="0"/>
  </w:style>
  <w:style w:type="paragraph" w:customStyle="1" w:styleId="11">
    <w:name w:val="居中"/>
    <w:basedOn w:val="1"/>
    <w:qFormat/>
    <w:uiPriority w:val="0"/>
    <w:pPr>
      <w:numPr>
        <w:ilvl w:val="0"/>
        <w:numId w:val="1"/>
      </w:numPr>
    </w:pPr>
  </w:style>
  <w:style w:type="paragraph" w:customStyle="1" w:styleId="12">
    <w:name w:val="个人正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hAnsi="Calibri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mui/zh_CN/templates/wps/AJXJ/HJJXFLH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HJJXFLH.wpt</Template>
  <Pages>2</Pages>
  <Words>532</Words>
  <Characters>541</Characters>
  <Lines>8</Lines>
  <Paragraphs>2</Paragraphs>
  <TotalTime>59</TotalTime>
  <ScaleCrop>false</ScaleCrop>
  <LinksUpToDate>false</LinksUpToDate>
  <CharactersWithSpaces>564</CharactersWithSpaces>
  <Application>WPS Office_10.8.0.7041_F1E327BC-269C-435d-A152-05C5408002CA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2021-11-18T02:43:00Z</dcterms:created>
  <dc:creator>王昊聪</dc:creator>
  <cp:lastModifiedBy>徐克举</cp:lastModifiedBy>
  <cp:lastPrinted>2022-07-06T09:02:00Z</cp:lastPrinted>
  <dcterms:modified xsi:type="dcterms:W3CDTF">2022-07-05T19:38:46Z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  <property fmtid="{D5CDD505-2E9C-101B-9397-08002B2CF9AE}" pid="3" name="公文模板版本">
    <vt:lpwstr>20171116</vt:lpwstr>
  </property>
</Properties>
</file>