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0CB66">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b w:val="0"/>
          <w:bCs/>
          <w:kern w:val="0"/>
          <w:sz w:val="44"/>
          <w:szCs w:val="44"/>
          <w:lang w:val="en-US" w:eastAsia="zh-CN"/>
        </w:rPr>
      </w:pPr>
      <w:bookmarkStart w:id="0" w:name="_GoBack"/>
      <w:bookmarkEnd w:id="0"/>
    </w:p>
    <w:p w14:paraId="51C6D04A">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北京市经济和信息化局</w:t>
      </w:r>
    </w:p>
    <w:p w14:paraId="3F615062">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重大行政执法决定事项目录</w:t>
      </w:r>
    </w:p>
    <w:p w14:paraId="274A4663">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b w:val="0"/>
          <w:bCs/>
          <w:kern w:val="0"/>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96"/>
        <w:gridCol w:w="6201"/>
      </w:tblGrid>
      <w:tr w14:paraId="76EC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0FAB73D">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b/>
                <w:kern w:val="0"/>
                <w:sz w:val="30"/>
                <w:szCs w:val="30"/>
                <w:lang w:val="en-US" w:eastAsia="zh-CN"/>
              </w:rPr>
            </w:pPr>
            <w:r>
              <w:rPr>
                <w:rFonts w:hint="eastAsia" w:ascii="仿宋_GB2312" w:hAnsi="仿宋_GB2312" w:eastAsia="仿宋_GB2312" w:cs="仿宋_GB2312"/>
                <w:b/>
                <w:kern w:val="0"/>
                <w:sz w:val="30"/>
                <w:szCs w:val="30"/>
                <w:lang w:val="en-US" w:eastAsia="zh-CN"/>
              </w:rPr>
              <w:t>序号</w:t>
            </w:r>
          </w:p>
        </w:tc>
        <w:tc>
          <w:tcPr>
            <w:tcW w:w="1596" w:type="dxa"/>
            <w:vAlign w:val="center"/>
          </w:tcPr>
          <w:p w14:paraId="342AC903">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b/>
                <w:kern w:val="0"/>
                <w:sz w:val="30"/>
                <w:szCs w:val="30"/>
                <w:lang w:val="en-US" w:eastAsia="zh-CN"/>
              </w:rPr>
            </w:pPr>
            <w:r>
              <w:rPr>
                <w:rFonts w:hint="eastAsia" w:ascii="仿宋_GB2312" w:hAnsi="仿宋_GB2312" w:eastAsia="仿宋_GB2312" w:cs="仿宋_GB2312"/>
                <w:b/>
                <w:kern w:val="0"/>
                <w:sz w:val="30"/>
                <w:szCs w:val="30"/>
                <w:lang w:val="en-US" w:eastAsia="zh-CN"/>
              </w:rPr>
              <w:t>事项类别</w:t>
            </w:r>
          </w:p>
        </w:tc>
        <w:tc>
          <w:tcPr>
            <w:tcW w:w="6201" w:type="dxa"/>
            <w:vAlign w:val="center"/>
          </w:tcPr>
          <w:p w14:paraId="422FFAFD">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b/>
                <w:kern w:val="0"/>
                <w:sz w:val="30"/>
                <w:szCs w:val="30"/>
                <w:lang w:val="en-US" w:eastAsia="zh-CN"/>
              </w:rPr>
            </w:pPr>
            <w:r>
              <w:rPr>
                <w:rFonts w:hint="eastAsia" w:ascii="仿宋_GB2312" w:hAnsi="仿宋_GB2312" w:eastAsia="仿宋_GB2312" w:cs="仿宋_GB2312"/>
                <w:b/>
                <w:kern w:val="0"/>
                <w:sz w:val="30"/>
                <w:szCs w:val="30"/>
                <w:lang w:val="en-US" w:eastAsia="zh-CN"/>
              </w:rPr>
              <w:t>事项名称</w:t>
            </w:r>
          </w:p>
        </w:tc>
      </w:tr>
      <w:tr w14:paraId="7277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43EF3285">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restart"/>
            <w:vAlign w:val="center"/>
          </w:tcPr>
          <w:p w14:paraId="7C11926D">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行政许可</w:t>
            </w:r>
          </w:p>
        </w:tc>
        <w:tc>
          <w:tcPr>
            <w:tcW w:w="6201" w:type="dxa"/>
          </w:tcPr>
          <w:p w14:paraId="7D8E2CCD">
            <w:p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采取招标、拍卖等方式作出的行政许可决定</w:t>
            </w:r>
          </w:p>
        </w:tc>
      </w:tr>
      <w:tr w14:paraId="1B60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05CBDD4F">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4DA09F1C">
            <w:pPr>
              <w:jc w:val="center"/>
              <w:rPr>
                <w:rFonts w:hint="eastAsia" w:ascii="仿宋_GB2312" w:hAnsi="仿宋_GB2312" w:eastAsia="仿宋_GB2312" w:cs="仿宋_GB2312"/>
                <w:sz w:val="30"/>
                <w:szCs w:val="30"/>
                <w:vertAlign w:val="baseline"/>
                <w:lang w:val="en-US" w:eastAsia="zh-CN"/>
              </w:rPr>
            </w:pPr>
          </w:p>
        </w:tc>
        <w:tc>
          <w:tcPr>
            <w:tcW w:w="6201" w:type="dxa"/>
          </w:tcPr>
          <w:p w14:paraId="381DE60E">
            <w:p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经过听证程序的行政许可决定</w:t>
            </w:r>
          </w:p>
        </w:tc>
      </w:tr>
      <w:tr w14:paraId="56F3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241824CE">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5F81DC06">
            <w:pPr>
              <w:jc w:val="center"/>
              <w:rPr>
                <w:rFonts w:hint="eastAsia" w:ascii="仿宋_GB2312" w:hAnsi="仿宋_GB2312" w:eastAsia="仿宋_GB2312" w:cs="仿宋_GB2312"/>
                <w:sz w:val="30"/>
                <w:szCs w:val="30"/>
                <w:vertAlign w:val="baseline"/>
                <w:lang w:val="en-US" w:eastAsia="zh-CN"/>
              </w:rPr>
            </w:pPr>
          </w:p>
        </w:tc>
        <w:tc>
          <w:tcPr>
            <w:tcW w:w="6201" w:type="dxa"/>
          </w:tcPr>
          <w:p w14:paraId="697C9900">
            <w:p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撤回或者撤销行政许可的决定</w:t>
            </w:r>
          </w:p>
        </w:tc>
      </w:tr>
      <w:tr w14:paraId="0B61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70C2336A">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53D3A4E1">
            <w:pPr>
              <w:jc w:val="center"/>
              <w:rPr>
                <w:rFonts w:hint="eastAsia" w:ascii="仿宋_GB2312" w:hAnsi="仿宋_GB2312" w:eastAsia="仿宋_GB2312" w:cs="仿宋_GB2312"/>
                <w:sz w:val="30"/>
                <w:szCs w:val="30"/>
                <w:vertAlign w:val="baseline"/>
                <w:lang w:val="en-US" w:eastAsia="zh-CN"/>
              </w:rPr>
            </w:pPr>
          </w:p>
        </w:tc>
        <w:tc>
          <w:tcPr>
            <w:tcW w:w="6201" w:type="dxa"/>
          </w:tcPr>
          <w:p w14:paraId="7F4C44C7">
            <w:p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可能造成重大社会影响、引发社会风险的行政许可决定</w:t>
            </w:r>
          </w:p>
        </w:tc>
      </w:tr>
      <w:tr w14:paraId="7EF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351ACB06">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46ADDD35">
            <w:pPr>
              <w:jc w:val="center"/>
              <w:rPr>
                <w:rFonts w:hint="eastAsia" w:ascii="仿宋_GB2312" w:hAnsi="仿宋_GB2312" w:eastAsia="仿宋_GB2312" w:cs="仿宋_GB2312"/>
                <w:sz w:val="30"/>
                <w:szCs w:val="30"/>
                <w:vertAlign w:val="baseline"/>
                <w:lang w:val="en-US" w:eastAsia="zh-CN"/>
              </w:rPr>
            </w:pPr>
          </w:p>
        </w:tc>
        <w:tc>
          <w:tcPr>
            <w:tcW w:w="6201" w:type="dxa"/>
          </w:tcPr>
          <w:p w14:paraId="25B6FD70">
            <w:p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经济和信息化主管部门认为重大的其他行政许可决定</w:t>
            </w:r>
          </w:p>
        </w:tc>
      </w:tr>
      <w:tr w14:paraId="1B3B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045ECB05">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restart"/>
            <w:vAlign w:val="center"/>
          </w:tcPr>
          <w:p w14:paraId="767D430A">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行政处罚</w:t>
            </w:r>
          </w:p>
        </w:tc>
        <w:tc>
          <w:tcPr>
            <w:tcW w:w="6201" w:type="dxa"/>
          </w:tcPr>
          <w:p w14:paraId="355390AD">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吊销许可证件的行政处罚决定</w:t>
            </w:r>
          </w:p>
        </w:tc>
      </w:tr>
      <w:tr w14:paraId="6066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5ABBCA85">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2EF94C4F">
            <w:pPr>
              <w:jc w:val="center"/>
              <w:rPr>
                <w:rFonts w:hint="eastAsia" w:ascii="仿宋_GB2312" w:hAnsi="仿宋_GB2312" w:eastAsia="仿宋_GB2312" w:cs="仿宋_GB2312"/>
                <w:sz w:val="30"/>
                <w:szCs w:val="30"/>
                <w:vertAlign w:val="baseline"/>
                <w:lang w:val="en-US" w:eastAsia="zh-CN"/>
              </w:rPr>
            </w:pPr>
          </w:p>
        </w:tc>
        <w:tc>
          <w:tcPr>
            <w:tcW w:w="6201" w:type="dxa"/>
          </w:tcPr>
          <w:p w14:paraId="23CE8D8E">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责令停产停业、责令关闭、限制从业的行政处罚决定</w:t>
            </w:r>
          </w:p>
        </w:tc>
      </w:tr>
      <w:tr w14:paraId="5787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5EDA746B">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283CE646">
            <w:pPr>
              <w:jc w:val="center"/>
              <w:rPr>
                <w:rFonts w:hint="eastAsia" w:ascii="仿宋_GB2312" w:hAnsi="仿宋_GB2312" w:eastAsia="仿宋_GB2312" w:cs="仿宋_GB2312"/>
                <w:sz w:val="30"/>
                <w:szCs w:val="30"/>
                <w:vertAlign w:val="baseline"/>
                <w:lang w:val="en-US" w:eastAsia="zh-CN"/>
              </w:rPr>
            </w:pPr>
          </w:p>
        </w:tc>
        <w:tc>
          <w:tcPr>
            <w:tcW w:w="6201" w:type="dxa"/>
          </w:tcPr>
          <w:p w14:paraId="65F96864">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对公民没收1万元以上违法所得或价值1万元以上非法财物、对法人或其他组织没收10万元以上违法所得或价值10万元以上非法财物的行政处罚决定</w:t>
            </w:r>
          </w:p>
        </w:tc>
      </w:tr>
      <w:tr w14:paraId="212F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3837A11E">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75091DD6">
            <w:pPr>
              <w:jc w:val="center"/>
              <w:rPr>
                <w:rFonts w:hint="eastAsia" w:ascii="仿宋_GB2312" w:hAnsi="仿宋_GB2312" w:eastAsia="仿宋_GB2312" w:cs="仿宋_GB2312"/>
                <w:sz w:val="30"/>
                <w:szCs w:val="30"/>
                <w:vertAlign w:val="baseline"/>
                <w:lang w:val="en-US" w:eastAsia="zh-CN"/>
              </w:rPr>
            </w:pPr>
          </w:p>
        </w:tc>
        <w:tc>
          <w:tcPr>
            <w:tcW w:w="6201" w:type="dxa"/>
          </w:tcPr>
          <w:p w14:paraId="65B12BF7">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对公民处1万元以上罚款的行政处罚决定</w:t>
            </w:r>
          </w:p>
        </w:tc>
      </w:tr>
      <w:tr w14:paraId="6ED7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79EEF216">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2A856EBB">
            <w:pPr>
              <w:jc w:val="center"/>
              <w:rPr>
                <w:rFonts w:hint="eastAsia" w:ascii="仿宋_GB2312" w:hAnsi="仿宋_GB2312" w:eastAsia="仿宋_GB2312" w:cs="仿宋_GB2312"/>
                <w:sz w:val="30"/>
                <w:szCs w:val="30"/>
                <w:vertAlign w:val="baseline"/>
                <w:lang w:val="en-US" w:eastAsia="zh-CN"/>
              </w:rPr>
            </w:pPr>
          </w:p>
        </w:tc>
        <w:tc>
          <w:tcPr>
            <w:tcW w:w="6201" w:type="dxa"/>
          </w:tcPr>
          <w:p w14:paraId="21C5C098">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对法人或者其他组织处10万元以上罚款的行政处罚决定</w:t>
            </w:r>
          </w:p>
        </w:tc>
      </w:tr>
      <w:tr w14:paraId="13D3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2A234E34">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6D174FC5">
            <w:pPr>
              <w:jc w:val="center"/>
              <w:rPr>
                <w:rFonts w:hint="eastAsia" w:ascii="仿宋_GB2312" w:hAnsi="仿宋_GB2312" w:eastAsia="仿宋_GB2312" w:cs="仿宋_GB2312"/>
                <w:sz w:val="30"/>
                <w:szCs w:val="30"/>
                <w:vertAlign w:val="baseline"/>
                <w:lang w:val="en-US" w:eastAsia="zh-CN"/>
              </w:rPr>
            </w:pPr>
          </w:p>
        </w:tc>
        <w:tc>
          <w:tcPr>
            <w:tcW w:w="6201" w:type="dxa"/>
          </w:tcPr>
          <w:p w14:paraId="2C4AC136">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直接关系当事人或者第三人重大权益，经过听证程序的行政处罚决定</w:t>
            </w:r>
          </w:p>
        </w:tc>
      </w:tr>
      <w:tr w14:paraId="14D5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6835BD48">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2CDBF3D0">
            <w:pPr>
              <w:jc w:val="center"/>
              <w:rPr>
                <w:rFonts w:hint="eastAsia" w:ascii="仿宋_GB2312" w:hAnsi="仿宋_GB2312" w:eastAsia="仿宋_GB2312" w:cs="仿宋_GB2312"/>
                <w:sz w:val="30"/>
                <w:szCs w:val="30"/>
                <w:vertAlign w:val="baseline"/>
                <w:lang w:val="en-US" w:eastAsia="zh-CN"/>
              </w:rPr>
            </w:pPr>
          </w:p>
        </w:tc>
        <w:tc>
          <w:tcPr>
            <w:tcW w:w="6201" w:type="dxa"/>
          </w:tcPr>
          <w:p w14:paraId="07D802EA">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涉及重大公共利益的行政处罚决定</w:t>
            </w:r>
          </w:p>
        </w:tc>
      </w:tr>
      <w:tr w14:paraId="4338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774C34DB">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634137A0">
            <w:pPr>
              <w:jc w:val="center"/>
              <w:rPr>
                <w:rFonts w:hint="eastAsia" w:ascii="仿宋_GB2312" w:hAnsi="仿宋_GB2312" w:eastAsia="仿宋_GB2312" w:cs="仿宋_GB2312"/>
                <w:sz w:val="30"/>
                <w:szCs w:val="30"/>
                <w:vertAlign w:val="baseline"/>
                <w:lang w:val="en-US" w:eastAsia="zh-CN"/>
              </w:rPr>
            </w:pPr>
          </w:p>
        </w:tc>
        <w:tc>
          <w:tcPr>
            <w:tcW w:w="6201" w:type="dxa"/>
          </w:tcPr>
          <w:p w14:paraId="7FD79898">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案件情况疑难复杂、涉及多个法律关系的行政处罚决定</w:t>
            </w:r>
          </w:p>
        </w:tc>
      </w:tr>
      <w:tr w14:paraId="2408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0108066C">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restart"/>
            <w:vAlign w:val="center"/>
          </w:tcPr>
          <w:p w14:paraId="280C7B87">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案件移送</w:t>
            </w:r>
          </w:p>
        </w:tc>
        <w:tc>
          <w:tcPr>
            <w:tcW w:w="6201" w:type="dxa"/>
          </w:tcPr>
          <w:p w14:paraId="7ADEF7EE">
            <w:p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经济和信息化主管部门向公安机关移送涉嫌犯罪案件</w:t>
            </w:r>
          </w:p>
        </w:tc>
      </w:tr>
      <w:tr w14:paraId="2922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200493C7">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Merge w:val="continue"/>
            <w:vAlign w:val="center"/>
          </w:tcPr>
          <w:p w14:paraId="6B858D15">
            <w:pPr>
              <w:jc w:val="center"/>
              <w:rPr>
                <w:rFonts w:hint="eastAsia" w:ascii="仿宋_GB2312" w:hAnsi="仿宋_GB2312" w:eastAsia="仿宋_GB2312" w:cs="仿宋_GB2312"/>
                <w:sz w:val="30"/>
                <w:szCs w:val="30"/>
                <w:vertAlign w:val="baseline"/>
              </w:rPr>
            </w:pPr>
          </w:p>
        </w:tc>
        <w:tc>
          <w:tcPr>
            <w:tcW w:w="6201" w:type="dxa"/>
          </w:tcPr>
          <w:p w14:paraId="1ED73A3D">
            <w:p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经济和信息化主管部门向监察机关移送涉嫌职务违法、职务犯罪案件的决定</w:t>
            </w:r>
          </w:p>
        </w:tc>
      </w:tr>
      <w:tr w14:paraId="7BC2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0303FBF2">
            <w:pPr>
              <w:numPr>
                <w:ilvl w:val="0"/>
                <w:numId w:val="1"/>
              </w:numPr>
              <w:ind w:left="425" w:leftChars="0" w:hanging="425" w:firstLineChars="0"/>
              <w:rPr>
                <w:rFonts w:hint="eastAsia" w:ascii="仿宋_GB2312" w:hAnsi="仿宋_GB2312" w:eastAsia="仿宋_GB2312" w:cs="仿宋_GB2312"/>
                <w:sz w:val="30"/>
                <w:szCs w:val="30"/>
                <w:vertAlign w:val="baseline"/>
              </w:rPr>
            </w:pPr>
          </w:p>
        </w:tc>
        <w:tc>
          <w:tcPr>
            <w:tcW w:w="1596" w:type="dxa"/>
            <w:vAlign w:val="center"/>
          </w:tcPr>
          <w:p w14:paraId="18AE1017">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其他</w:t>
            </w:r>
          </w:p>
        </w:tc>
        <w:tc>
          <w:tcPr>
            <w:tcW w:w="6201" w:type="dxa"/>
          </w:tcPr>
          <w:p w14:paraId="203A105D">
            <w:p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法律、法规、规章规定或者经济和信息化主管部门认为属于重大的其他行政执法决定</w:t>
            </w:r>
          </w:p>
        </w:tc>
      </w:tr>
    </w:tbl>
    <w:p w14:paraId="1939454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7A93D"/>
    <w:multiLevelType w:val="singleLevel"/>
    <w:tmpl w:val="4737A93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578C3"/>
    <w:rsid w:val="2B532B2A"/>
    <w:rsid w:val="2BB9CCB2"/>
    <w:rsid w:val="37F31F59"/>
    <w:rsid w:val="3C0578C3"/>
    <w:rsid w:val="3F7D7883"/>
    <w:rsid w:val="4DCB4CA4"/>
    <w:rsid w:val="5BFFC55C"/>
    <w:rsid w:val="7FF4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pBdr>
        <w:top w:val="none" w:color="auto" w:sz="0" w:space="1"/>
        <w:left w:val="none" w:color="auto" w:sz="0" w:space="4"/>
        <w:bottom w:val="none" w:color="auto" w:sz="0" w:space="1"/>
        <w:right w:val="none" w:color="auto" w:sz="0" w:space="4"/>
      </w:pBdr>
      <w:jc w:val="left"/>
    </w:pPr>
    <w:rPr>
      <w:rFonts w:asciiTheme="minorAscii" w:hAnsiTheme="minorAscii" w:eastAsiaTheme="minorEastAsia"/>
      <w:sz w:val="21"/>
      <w:szCs w:val="2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337</Words>
  <Characters>338</Characters>
  <Lines>0</Lines>
  <Paragraphs>0</Paragraphs>
  <TotalTime>0</TotalTime>
  <ScaleCrop>false</ScaleCrop>
  <LinksUpToDate>false</LinksUpToDate>
  <CharactersWithSpaces>338</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2026-06-26T16:34:00Z</dcterms:created>
  <dc:creator>观韬</dc:creator>
  <cp:lastModifiedBy>WPS_1528207989</cp:lastModifiedBy>
  <dcterms:modified xsi:type="dcterms:W3CDTF">2026-06-26T14:30:50Z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488775BF5ED0F3499A1C3E6A504A52A4_43</vt:lpwstr>
  </property>
  <property fmtid="{D5CDD505-2E9C-101B-9397-08002B2CF9AE}" pid="4" name="KSOTemplateDocerSaveRecord">
    <vt:lpwstr>eyJoZGlkIjoiYWJmNTAxYTA0NTllZTU0OWY5NWY0MWNlMzBjNGU2OTYiLCJ1c2VySWQiOiI2NTIzMTI2MTgifQ==</vt:lpwstr>
  </property>
</Properties>
</file>