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b/>
                <w:bCs/>
                <w:sz w:val="21"/>
                <w:szCs w:val="21"/>
              </w:rPr>
              <w:t>ICS</w:t>
            </w:r>
            <w:r>
              <w:rPr>
                <w:rFonts w:ascii="Times New Roman" w:hAnsi="Times New Roman"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t>35.080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b/>
                <w:bCs/>
                <w:sz w:val="21"/>
                <w:szCs w:val="21"/>
              </w:rPr>
              <w:t>CCS</w:t>
            </w:r>
            <w:r>
              <w:rPr>
                <w:rFonts w:ascii="Times New Roman" w:hAnsi="Times New Roman"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b/>
                <w:bCs/>
                <w:sz w:val="21"/>
                <w:szCs w:val="21"/>
              </w:rPr>
              <w:t>L</w:t>
            </w:r>
            <w:r>
              <w:rPr>
                <w:rFonts w:ascii="Times New Roman" w:hAnsi="Times New Roman" w:eastAsia="黑体"/>
                <w:sz w:val="21"/>
                <w:szCs w:val="21"/>
              </w:rPr>
              <w:t xml:space="preserve"> 77</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shd w:val="clear" w:color="auto" w:fill="auto"/>
              <w:rPr>
                <w:sz w:val="28"/>
                <w:szCs w:val="28"/>
              </w:rPr>
            </w:pPr>
            <w:bookmarkStart w:id="0" w:name="_Hlk26473981"/>
            <w:r>
              <w:rPr>
                <w:sz w:val="21"/>
                <w:szCs w:val="21"/>
              </w:rPr>
              <w:t xml:space="preserve"> </w:t>
            </w:r>
            <w:r>
              <w:t>DB 11</w:t>
            </w:r>
          </w:p>
        </w:tc>
      </w:tr>
    </w:tbl>
    <w:p>
      <w:pPr>
        <w:pStyle w:val="54"/>
        <w:framePr w:w="9639" w:h="624" w:hRule="exact" w:hSpace="181" w:vSpace="181" w:wrap="around" w:hAnchor="page" w:x="1305" w:y="2269"/>
        <w:rPr>
          <w:rFonts w:ascii="Times New Roman" w:eastAsia="黑体"/>
          <w:b w:val="0"/>
          <w:bCs w:val="0"/>
          <w:w w:val="100"/>
          <w:sz w:val="48"/>
          <w:szCs w:val="48"/>
        </w:rPr>
      </w:pPr>
      <w:r>
        <w:rPr>
          <w:rFonts w:hint="eastAsia" w:ascii="Times New Roman" w:eastAsia="黑体"/>
          <w:b w:val="0"/>
          <w:w w:val="100"/>
          <w:sz w:val="48"/>
          <w:szCs w:val="48"/>
        </w:rPr>
        <w:t>北京市</w:t>
      </w:r>
      <w:r>
        <w:rPr>
          <w:rFonts w:ascii="Times New Roman" w:eastAsia="黑体"/>
          <w:b w:val="0"/>
          <w:bCs w:val="0"/>
          <w:w w:val="100"/>
          <w:sz w:val="48"/>
          <w:szCs w:val="48"/>
        </w:rPr>
        <w:t>地方标准</w:t>
      </w:r>
    </w:p>
    <w:bookmarkEnd w:id="0"/>
    <w:p>
      <w:pPr>
        <w:pStyle w:val="199"/>
        <w:rPr>
          <w:rFonts w:ascii="Times New Roman"/>
          <w:lang w:val="fr-FR"/>
        </w:rPr>
      </w:pPr>
      <w:r>
        <w:rPr>
          <w:rFonts w:ascii="Times New Roman"/>
          <w:lang w:val="fr-FR"/>
        </w:rPr>
        <w:t>DB</w:t>
      </w:r>
      <w:r>
        <w:rPr>
          <w:rFonts w:ascii="Times New Roman"/>
          <w:sz w:val="15"/>
          <w:szCs w:val="15"/>
          <w:lang w:val="fr-FR"/>
        </w:rPr>
        <w:t xml:space="preserve"> </w:t>
      </w:r>
      <w:r>
        <w:rPr>
          <w:rFonts w:ascii="Times New Roman"/>
        </w:rPr>
        <w:fldChar w:fldCharType="begin">
          <w:ffData>
            <w:name w:val="文字1"/>
            <w:enabled/>
            <w:calcOnExit w:val="0"/>
            <w:textInput>
              <w:default w:val="XX/T"/>
            </w:textInput>
          </w:ffData>
        </w:fldChar>
      </w:r>
      <w:bookmarkStart w:id="1" w:name="文字1"/>
      <w:r>
        <w:rPr>
          <w:rFonts w:ascii="Times New Roman"/>
          <w:lang w:val="fr-FR"/>
        </w:rPr>
        <w:instrText xml:space="preserve"> FORMTEXT </w:instrText>
      </w:r>
      <w:r>
        <w:rPr>
          <w:rFonts w:ascii="Times New Roman"/>
        </w:rPr>
        <w:fldChar w:fldCharType="separate"/>
      </w:r>
      <w:r>
        <w:rPr>
          <w:rFonts w:ascii="Times New Roman"/>
          <w:lang w:val="fr-FR"/>
        </w:rPr>
        <w:t>XX/T</w:t>
      </w:r>
      <w:r>
        <w:rPr>
          <w:rFonts w:ascii="Times New Roman"/>
        </w:rPr>
        <w:fldChar w:fldCharType="end"/>
      </w:r>
      <w:bookmarkEnd w:id="1"/>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2"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2"/>
      <w:r>
        <w:rPr>
          <w:rFonts w:ascii="Times New Roman"/>
          <w:lang w:val="fr-FR"/>
        </w:rPr>
        <w:t>—</w:t>
      </w:r>
      <w:r>
        <w:rPr>
          <w:rFonts w:ascii="Times New Roman"/>
        </w:rPr>
        <w:fldChar w:fldCharType="begin">
          <w:ffData>
            <w:name w:val="NSTD_CODE_B"/>
            <w:enabled/>
            <w:calcOnExit w:val="0"/>
            <w:textInput>
              <w:default w:val="XXXX"/>
            </w:textInput>
          </w:ffData>
        </w:fldChar>
      </w:r>
      <w:bookmarkStart w:id="3" w:name="NSTD_CODE_B"/>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3"/>
    </w:p>
    <w:p>
      <w:pPr>
        <w:pStyle w:val="200"/>
        <w:rPr>
          <w:rFonts w:ascii="Times New Roman"/>
        </w:rPr>
      </w:pPr>
      <w:r>
        <w:rPr>
          <w:rFonts w:ascii="Times New Roman"/>
        </w:rPr>
        <w:fldChar w:fldCharType="begin">
          <w:ffData>
            <w:name w:val="OSTD_CODE"/>
            <w:enabled/>
            <w:calcOnExit w:val="0"/>
            <w:textInput/>
          </w:ffData>
        </w:fldChar>
      </w:r>
      <w:bookmarkStart w:id="4"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4"/>
    </w:p>
    <w:p>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4"/>
        <w:framePr w:w="9639" w:h="6976" w:hRule="exact" w:hSpace="0" w:vSpace="0" w:wrap="around" w:hAnchor="page" w:y="6408"/>
        <w:jc w:val="center"/>
        <w:rPr>
          <w:rFonts w:ascii="Times New Roman" w:eastAsia="黑体"/>
          <w:b w:val="0"/>
          <w:bCs w:val="0"/>
          <w:w w:val="100"/>
        </w:rPr>
      </w:pPr>
    </w:p>
    <w:p>
      <w:pPr>
        <w:pStyle w:val="201"/>
        <w:framePr w:h="6974" w:hRule="exact" w:wrap="around" w:x="1419" w:anchorLock="1"/>
        <w:rPr>
          <w:rFonts w:ascii="Times New Roman" w:hAnsi="Times New Roman"/>
        </w:rPr>
      </w:pPr>
      <w:r>
        <w:rPr>
          <w:rFonts w:ascii="Times New Roman" w:hAnsi="Times New Roman"/>
        </w:rPr>
        <w:t xml:space="preserve">信息技术应用创新 </w:t>
      </w:r>
    </w:p>
    <w:p>
      <w:pPr>
        <w:pStyle w:val="201"/>
        <w:framePr w:h="6974" w:hRule="exact" w:wrap="around" w:x="1419" w:anchorLock="1"/>
        <w:rPr>
          <w:rFonts w:ascii="Times New Roman" w:hAnsi="Times New Roman"/>
        </w:rPr>
      </w:pPr>
      <w:r>
        <w:rPr>
          <w:rFonts w:ascii="Times New Roman" w:hAnsi="Times New Roman"/>
        </w:rPr>
        <w:t>应用软件适配改造成本度量规范</w:t>
      </w:r>
    </w:p>
    <w:p>
      <w:pPr>
        <w:framePr w:w="9639" w:h="6974" w:hRule="exact" w:wrap="around" w:vAnchor="page" w:hAnchor="page" w:x="1419" w:y="6408" w:anchorLock="1"/>
        <w:ind w:left="-1418"/>
        <w:rPr>
          <w:rFonts w:ascii="Times New Roman" w:hAnsi="Times New Roman"/>
        </w:rPr>
      </w:pPr>
    </w:p>
    <w:p>
      <w:pPr>
        <w:pStyle w:val="129"/>
        <w:framePr w:w="9639" w:h="6974" w:hRule="exact" w:wrap="around" w:vAnchor="page" w:hAnchor="page" w:x="1419" w:y="6408" w:anchorLock="1"/>
        <w:textAlignment w:val="bottom"/>
        <w:rPr>
          <w:rFonts w:eastAsia="黑体"/>
          <w:b/>
          <w:bCs/>
          <w:szCs w:val="28"/>
        </w:rPr>
      </w:pPr>
      <w:r>
        <w:rPr>
          <w:rFonts w:eastAsia="黑体"/>
          <w:b/>
          <w:bCs/>
          <w:szCs w:val="28"/>
        </w:rPr>
        <w:t>Information technology application innovation—Cost measurement specification for application software adaptation and transformation</w:t>
      </w:r>
    </w:p>
    <w:p>
      <w:pPr>
        <w:pStyle w:val="129"/>
        <w:framePr w:w="9639" w:h="6974" w:hRule="exact" w:wrap="around" w:vAnchor="page" w:hAnchor="page" w:x="1419" w:y="6408" w:anchorLock="1"/>
        <w:textAlignment w:val="bottom"/>
        <w:rPr>
          <w:rFonts w:eastAsia="黑体"/>
          <w:b/>
          <w:bCs/>
          <w:szCs w:val="28"/>
        </w:rPr>
      </w:pPr>
    </w:p>
    <w:p>
      <w:pPr>
        <w:framePr w:w="9639" w:h="6974" w:hRule="exact" w:wrap="around" w:vAnchor="page" w:hAnchor="page" w:x="1419" w:y="6408" w:anchorLock="1"/>
        <w:spacing w:line="760" w:lineRule="exact"/>
        <w:ind w:left="-1418"/>
        <w:rPr>
          <w:rFonts w:ascii="Times New Roman" w:hAnsi="Times New Roman"/>
        </w:rPr>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5" w:name="下拉1"/>
      <w:r>
        <w:rPr>
          <w:sz w:val="24"/>
          <w:szCs w:val="28"/>
        </w:rPr>
        <w:instrText xml:space="preserve"> FORMDROPDOWN </w:instrText>
      </w:r>
      <w:r>
        <w:rPr>
          <w:sz w:val="24"/>
          <w:szCs w:val="28"/>
        </w:rPr>
        <w:fldChar w:fldCharType="separate"/>
      </w:r>
      <w:r>
        <w:rPr>
          <w:sz w:val="24"/>
          <w:szCs w:val="28"/>
        </w:rPr>
        <w:fldChar w:fldCharType="end"/>
      </w:r>
      <w:bookmarkEnd w:id="5"/>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6"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6"/>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pPr>
        <w:pStyle w:val="197"/>
        <w:framePr w:wrap="around" w:y="14176"/>
      </w:pPr>
      <w:r>
        <w:fldChar w:fldCharType="begin">
          <w:ffData>
            <w:name w:val="CROT_DATE_Y"/>
            <w:enabled/>
            <w:calcOnExit w:val="0"/>
            <w:textInput>
              <w:default w:val="XXXX"/>
              <w:maxLength w:val="4"/>
            </w:textInput>
          </w:ffData>
        </w:fldChar>
      </w:r>
      <w:r>
        <w:instrText xml:space="preserve"> FORMTEXT </w:instrText>
      </w:r>
      <w:r>
        <w:fldChar w:fldCharType="separate"/>
      </w:r>
      <w:r>
        <w:t>XXXX</w:t>
      </w:r>
      <w:r>
        <w:fldChar w:fldCharType="end"/>
      </w:r>
      <w:r>
        <w:t xml:space="preserve"> - </w:t>
      </w:r>
      <w:r>
        <w:fldChar w:fldCharType="begin">
          <w:ffData>
            <w:name w:val="PLSH_DATE_M"/>
            <w:enabled/>
            <w:calcOnExit w:val="0"/>
            <w:textInput>
              <w:default w:val="XX"/>
              <w:maxLength w:val="2"/>
            </w:textInput>
          </w:ffData>
        </w:fldChar>
      </w:r>
      <w:bookmarkStart w:id="8" w:name="PLSH_DATE_M"/>
      <w:r>
        <w:instrText xml:space="preserve"> FORMTEXT </w:instrText>
      </w:r>
      <w:r>
        <w:fldChar w:fldCharType="separate"/>
      </w:r>
      <w:r>
        <w:t>XX</w:t>
      </w:r>
      <w:r>
        <w:fldChar w:fldCharType="end"/>
      </w:r>
      <w:bookmarkEnd w:id="8"/>
      <w:r>
        <w:t xml:space="preserve"> - </w:t>
      </w:r>
      <w:r>
        <w:fldChar w:fldCharType="begin">
          <w:ffData>
            <w:name w:val="PLSH_DATE_D"/>
            <w:enabled/>
            <w:calcOnExit w:val="0"/>
            <w:textInput>
              <w:default w:val="XX"/>
              <w:maxLength w:val="2"/>
            </w:textInput>
          </w:ffData>
        </w:fldChar>
      </w:r>
      <w:bookmarkStart w:id="9" w:name="PLSH_DATE_D"/>
      <w:r>
        <w:instrText xml:space="preserve"> FORMTEXT </w:instrText>
      </w:r>
      <w:r>
        <w:fldChar w:fldCharType="separate"/>
      </w:r>
      <w:r>
        <w:t>XX</w:t>
      </w:r>
      <w:r>
        <w:fldChar w:fldCharType="end"/>
      </w:r>
      <w:bookmarkEnd w:id="9"/>
      <w:r>
        <w:t>发布</w:t>
      </w:r>
    </w:p>
    <w:p>
      <w:pPr>
        <w:pStyle w:val="198"/>
        <w:framePr w:wrap="around" w:y="14176"/>
      </w:pPr>
      <w:r>
        <w:fldChar w:fldCharType="begin">
          <w:ffData>
            <w:name w:val="CROT_DATE_Y"/>
            <w:enabled/>
            <w:calcOnExit w:val="0"/>
            <w:textInput>
              <w:default w:val="XXXX"/>
              <w:maxLength w:val="4"/>
            </w:textInput>
          </w:ffData>
        </w:fldChar>
      </w:r>
      <w:bookmarkStart w:id="10" w:name="CROT_DATE_Y"/>
      <w:r>
        <w:instrText xml:space="preserve"> FORMTEXT </w:instrText>
      </w:r>
      <w:r>
        <w:fldChar w:fldCharType="separate"/>
      </w:r>
      <w:r>
        <w:t>XXXX</w:t>
      </w:r>
      <w:r>
        <w:fldChar w:fldCharType="end"/>
      </w:r>
      <w:bookmarkEnd w:id="10"/>
      <w:r>
        <w:t xml:space="preserve"> - </w:t>
      </w:r>
      <w:r>
        <w:fldChar w:fldCharType="begin">
          <w:ffData>
            <w:name w:val="CROT_DATE_M"/>
            <w:enabled/>
            <w:calcOnExit w:val="0"/>
            <w:textInput>
              <w:default w:val="XX"/>
              <w:maxLength w:val="2"/>
            </w:textInput>
          </w:ffData>
        </w:fldChar>
      </w:r>
      <w:bookmarkStart w:id="11" w:name="CROT_DATE_M"/>
      <w:r>
        <w:instrText xml:space="preserve"> FORMTEXT </w:instrText>
      </w:r>
      <w:r>
        <w:fldChar w:fldCharType="separate"/>
      </w:r>
      <w:r>
        <w:t>XX</w:t>
      </w:r>
      <w:r>
        <w:fldChar w:fldCharType="end"/>
      </w:r>
      <w:bookmarkEnd w:id="11"/>
      <w:r>
        <w:t xml:space="preserve"> - </w:t>
      </w:r>
      <w:r>
        <w:fldChar w:fldCharType="begin">
          <w:ffData>
            <w:name w:val="CROT_DATE_D"/>
            <w:enabled/>
            <w:calcOnExit w:val="0"/>
            <w:textInput>
              <w:default w:val="XX"/>
              <w:maxLength w:val="2"/>
            </w:textInput>
          </w:ffData>
        </w:fldChar>
      </w:r>
      <w:bookmarkStart w:id="12" w:name="CROT_DATE_D"/>
      <w:r>
        <w:instrText xml:space="preserve"> FORMTEXT </w:instrText>
      </w:r>
      <w:r>
        <w:fldChar w:fldCharType="separate"/>
      </w:r>
      <w:r>
        <w:t>XX</w:t>
      </w:r>
      <w:r>
        <w:fldChar w:fldCharType="end"/>
      </w:r>
      <w:bookmarkEnd w:id="12"/>
      <w:r>
        <w:t>实施</w:t>
      </w:r>
    </w:p>
    <w:p>
      <w:pPr>
        <w:pStyle w:val="155"/>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13"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     </w:t>
      </w:r>
      <w:r>
        <w:rPr>
          <w:rFonts w:ascii="Times New Roman"/>
          <w:w w:val="100"/>
          <w:sz w:val="28"/>
        </w:rPr>
        <w:fldChar w:fldCharType="end"/>
      </w:r>
      <w:bookmarkEnd w:id="13"/>
      <w:r>
        <w:rPr>
          <w:rFonts w:ascii="Times New Roman"/>
          <w:w w:val="100"/>
          <w:sz w:val="28"/>
        </w:rPr>
        <w:t>  </w:t>
      </w:r>
      <w:r>
        <w:rPr>
          <w:rStyle w:val="233"/>
          <w:rFonts w:ascii="Times New Roman"/>
          <w:position w:val="0"/>
        </w:rPr>
        <w:t>发</w:t>
      </w:r>
      <w:r>
        <w:rPr>
          <w:rStyle w:val="233"/>
          <w:rFonts w:ascii="Times New Roman"/>
          <w:spacing w:val="0"/>
          <w:position w:val="0"/>
        </w:rPr>
        <w:t>布</w:t>
      </w:r>
    </w:p>
    <w:p>
      <w:pPr>
        <w:rPr>
          <w:rFonts w:ascii="Times New Roman" w:hAnsi="Times New Roman"/>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5"/>
        <w:spacing w:after="468"/>
        <w:rPr>
          <w:rFonts w:ascii="Times New Roman" w:hAnsi="Times New Roman"/>
        </w:rPr>
      </w:pPr>
      <w:bookmarkStart w:id="14" w:name="BookMark1"/>
      <w:r>
        <w:rPr>
          <w:rFonts w:ascii="Times New Roman" w:hAnsi="Times New Roman"/>
          <w:spacing w:val="320"/>
        </w:rPr>
        <w:t>目</w:t>
      </w:r>
      <w:r>
        <w:rPr>
          <w:rFonts w:ascii="Times New Roman" w:hAnsi="Times New Roman"/>
        </w:rPr>
        <w:t>次</w:t>
      </w:r>
    </w:p>
    <w:p>
      <w:pPr>
        <w:pStyle w:val="20"/>
        <w:tabs>
          <w:tab w:val="right" w:leader="dot" w:pos="9354"/>
        </w:tabs>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"_Toc27916" </w:instrText>
      </w:r>
      <w:r>
        <w:fldChar w:fldCharType="separate"/>
      </w:r>
      <w:r>
        <w:rPr>
          <w:rFonts w:ascii="Times New Roman"/>
          <w:spacing w:val="320"/>
        </w:rPr>
        <w:t>前</w:t>
      </w:r>
      <w:r>
        <w:rPr>
          <w:rFonts w:ascii="Times New Roman"/>
        </w:rPr>
        <w:t>言</w:t>
      </w:r>
      <w:r>
        <w:tab/>
      </w:r>
      <w:r>
        <w:rPr>
          <w:rFonts w:hint="eastAsia"/>
        </w:rPr>
        <w:t>Ⅲ</w:t>
      </w:r>
      <w:r>
        <w:rPr>
          <w:rFonts w:hint="eastAsia"/>
        </w:rPr>
        <w:fldChar w:fldCharType="end"/>
      </w:r>
    </w:p>
    <w:p>
      <w:pPr>
        <w:pStyle w:val="20"/>
        <w:tabs>
          <w:tab w:val="right" w:leader="dot" w:pos="9354"/>
        </w:tabs>
      </w:pPr>
      <w:r>
        <w:fldChar w:fldCharType="begin"/>
      </w:r>
      <w:r>
        <w:instrText xml:space="preserve"> HYPERLINK \l "_Toc5928" </w:instrText>
      </w:r>
      <w:r>
        <w:fldChar w:fldCharType="separate"/>
      </w:r>
      <w:r>
        <w:rPr>
          <w:rFonts w:hint="eastAsia" w:ascii="黑体" w:eastAsia="黑体"/>
        </w:rPr>
        <w:t xml:space="preserve">1 </w:t>
      </w:r>
      <w:r>
        <w:rPr>
          <w:rFonts w:ascii="Times New Roman"/>
        </w:rPr>
        <w:t>范围</w:t>
      </w:r>
      <w:r>
        <w:tab/>
      </w:r>
      <w:r>
        <w:fldChar w:fldCharType="begin"/>
      </w:r>
      <w:r>
        <w:instrText xml:space="preserve"> PAGEREF _Toc5928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"_Toc23535" </w:instrText>
      </w:r>
      <w:r>
        <w:fldChar w:fldCharType="separate"/>
      </w:r>
      <w:r>
        <w:rPr>
          <w:rFonts w:hint="eastAsia" w:ascii="黑体" w:eastAsia="黑体"/>
        </w:rPr>
        <w:t xml:space="preserve">2 </w:t>
      </w:r>
      <w:r>
        <w:rPr>
          <w:rFonts w:ascii="Times New Roman"/>
        </w:rPr>
        <w:t>规范性引用文件</w:t>
      </w:r>
      <w:r>
        <w:tab/>
      </w:r>
      <w:r>
        <w:fldChar w:fldCharType="begin"/>
      </w:r>
      <w:r>
        <w:instrText xml:space="preserve"> PAGEREF _Toc23535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"_Toc14711" </w:instrText>
      </w:r>
      <w:r>
        <w:fldChar w:fldCharType="separate"/>
      </w:r>
      <w:r>
        <w:rPr>
          <w:rFonts w:hint="eastAsia" w:ascii="黑体" w:eastAsia="黑体"/>
        </w:rPr>
        <w:t xml:space="preserve">3 </w:t>
      </w:r>
      <w:r>
        <w:rPr>
          <w:rFonts w:ascii="Times New Roman"/>
        </w:rPr>
        <w:t>术语和定义</w:t>
      </w:r>
      <w:r>
        <w:tab/>
      </w:r>
      <w:r>
        <w:fldChar w:fldCharType="begin"/>
      </w:r>
      <w:r>
        <w:instrText xml:space="preserve"> PAGEREF _Toc14711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"_Toc25020" </w:instrText>
      </w:r>
      <w:r>
        <w:fldChar w:fldCharType="separate"/>
      </w:r>
      <w:r>
        <w:rPr>
          <w:rFonts w:hint="eastAsia" w:ascii="黑体" w:eastAsia="黑体"/>
        </w:rPr>
        <w:t xml:space="preserve">4 </w:t>
      </w:r>
      <w:r>
        <w:rPr>
          <w:rFonts w:ascii="Times New Roman"/>
        </w:rPr>
        <w:t>缩略语</w:t>
      </w:r>
      <w:r>
        <w:tab/>
      </w:r>
      <w:r>
        <w:fldChar w:fldCharType="begin"/>
      </w:r>
      <w:r>
        <w:instrText xml:space="preserve"> PAGEREF _Toc25020 \h </w:instrText>
      </w:r>
      <w:r>
        <w:fldChar w:fldCharType="separate"/>
      </w:r>
      <w:r>
        <w:t>3</w:t>
      </w:r>
      <w:r>
        <w:fldChar w:fldCharType="end"/>
      </w:r>
      <w:r>
        <w:fldChar w:fldCharType="end"/>
      </w:r>
    </w:p>
    <w:p>
      <w:pPr>
        <w:pStyle w:val="20"/>
        <w:tabs>
          <w:tab w:val="right" w:leader="dot" w:pos="9354"/>
        </w:tabs>
      </w:pPr>
      <w:r>
        <w:fldChar w:fldCharType="begin"/>
      </w:r>
      <w:r>
        <w:instrText xml:space="preserve"> HYPERLINK \l "_Toc19269" </w:instrText>
      </w:r>
      <w:r>
        <w:fldChar w:fldCharType="separate"/>
      </w:r>
      <w:r>
        <w:rPr>
          <w:rFonts w:hint="eastAsia" w:ascii="黑体" w:eastAsia="黑体"/>
        </w:rPr>
        <w:t xml:space="preserve">5 </w:t>
      </w:r>
      <w:r>
        <w:rPr>
          <w:rFonts w:ascii="Times New Roman"/>
        </w:rPr>
        <w:t>应用软件适配改造工作内容</w:t>
      </w:r>
      <w:r>
        <w:tab/>
      </w:r>
      <w:r>
        <w:fldChar w:fldCharType="begin"/>
      </w:r>
      <w:r>
        <w:instrText xml:space="preserve"> PAGEREF _Toc19269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"_Toc32689" </w:instrText>
      </w:r>
      <w:r>
        <w:fldChar w:fldCharType="separate"/>
      </w:r>
      <w:r>
        <w:rPr>
          <w:rFonts w:hint="eastAsia" w:ascii="黑体" w:hAnsi="Times New Roman" w:eastAsia="黑体"/>
          <w:kern w:val="0"/>
          <w14:scene3d>
            <w14:lightRig w14:rig="threePt" w14:dir="t">
              <w14:rot w14:lat="0" w14:lon="0" w14:rev="0"/>
            </w14:lightRig>
          </w14:scene3d>
        </w:rPr>
        <w:t xml:space="preserve">5.1 </w:t>
      </w:r>
      <w:r>
        <w:rPr>
          <w:rFonts w:ascii="Times New Roman"/>
        </w:rPr>
        <w:t>概述</w:t>
      </w:r>
      <w:r>
        <w:tab/>
      </w:r>
      <w:r>
        <w:fldChar w:fldCharType="begin"/>
      </w:r>
      <w:r>
        <w:instrText xml:space="preserve"> PAGEREF _Toc32689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"_Toc10759"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ascii="Times New Roman"/>
        </w:rPr>
        <w:t>工作内容分类</w:t>
      </w:r>
      <w:r>
        <w:tab/>
      </w:r>
      <w:r>
        <w:fldChar w:fldCharType="begin"/>
      </w:r>
      <w:r>
        <w:instrText xml:space="preserve"> PAGEREF _Toc10759 \h </w:instrText>
      </w:r>
      <w:r>
        <w:fldChar w:fldCharType="separate"/>
      </w:r>
      <w:r>
        <w:t>4</w:t>
      </w:r>
      <w:r>
        <w:fldChar w:fldCharType="end"/>
      </w:r>
      <w:r>
        <w:fldChar w:fldCharType="end"/>
      </w:r>
    </w:p>
    <w:p>
      <w:pPr>
        <w:pStyle w:val="25"/>
        <w:tabs>
          <w:tab w:val="right" w:leader="dot" w:pos="9354"/>
          <w:tab w:val="clear" w:pos="9344"/>
        </w:tabs>
      </w:pPr>
      <w:r>
        <w:fldChar w:fldCharType="begin"/>
      </w:r>
      <w:r>
        <w:instrText xml:space="preserve"> HYPERLINK \l "_Toc17443"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rPr>
          <w:rFonts w:ascii="Times New Roman"/>
        </w:rPr>
        <w:t>工作过程</w:t>
      </w:r>
      <w:r>
        <w:tab/>
      </w:r>
      <w:r>
        <w:fldChar w:fldCharType="begin"/>
      </w:r>
      <w:r>
        <w:instrText xml:space="preserve"> PAGEREF _Toc17443 \h </w:instrText>
      </w:r>
      <w:r>
        <w:fldChar w:fldCharType="separate"/>
      </w:r>
      <w:r>
        <w:t>4</w:t>
      </w:r>
      <w:r>
        <w:fldChar w:fldCharType="end"/>
      </w:r>
      <w:r>
        <w:fldChar w:fldCharType="end"/>
      </w:r>
    </w:p>
    <w:p>
      <w:pPr>
        <w:pStyle w:val="20"/>
        <w:tabs>
          <w:tab w:val="right" w:leader="dot" w:pos="9354"/>
        </w:tabs>
      </w:pPr>
      <w:r>
        <w:fldChar w:fldCharType="begin"/>
      </w:r>
      <w:r>
        <w:instrText xml:space="preserve"> HYPERLINK \l "_Toc6821" </w:instrText>
      </w:r>
      <w:r>
        <w:fldChar w:fldCharType="separate"/>
      </w:r>
      <w:r>
        <w:rPr>
          <w:rFonts w:hint="eastAsia" w:ascii="黑体" w:eastAsia="黑体"/>
        </w:rPr>
        <w:t xml:space="preserve">6 </w:t>
      </w:r>
      <w:r>
        <w:rPr>
          <w:rFonts w:ascii="Times New Roman"/>
        </w:rPr>
        <w:t>应用软件适配改造成本构成</w:t>
      </w:r>
      <w:r>
        <w:tab/>
      </w:r>
      <w:r>
        <w:fldChar w:fldCharType="begin"/>
      </w:r>
      <w:r>
        <w:instrText xml:space="preserve"> PAGEREF _Toc6821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"_Toc6159"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ascii="Times New Roman"/>
        </w:rPr>
        <w:t>概述</w:t>
      </w:r>
      <w:r>
        <w:tab/>
      </w:r>
      <w:r>
        <w:fldChar w:fldCharType="begin"/>
      </w:r>
      <w:r>
        <w:instrText xml:space="preserve"> PAGEREF _Toc6159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"_Toc3760"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ascii="Times New Roman"/>
        </w:rPr>
        <w:t>直接人力成本</w:t>
      </w:r>
      <w:r>
        <w:tab/>
      </w:r>
      <w:r>
        <w:fldChar w:fldCharType="begin"/>
      </w:r>
      <w:r>
        <w:instrText xml:space="preserve"> PAGEREF _Toc3760 \h </w:instrText>
      </w:r>
      <w:r>
        <w:fldChar w:fldCharType="separate"/>
      </w:r>
      <w:r>
        <w:t>5</w:t>
      </w:r>
      <w:r>
        <w:fldChar w:fldCharType="end"/>
      </w:r>
      <w:r>
        <w:fldChar w:fldCharType="end"/>
      </w:r>
    </w:p>
    <w:p>
      <w:pPr>
        <w:pStyle w:val="25"/>
        <w:tabs>
          <w:tab w:val="right" w:leader="dot" w:pos="9354"/>
          <w:tab w:val="clear" w:pos="9344"/>
        </w:tabs>
      </w:pPr>
      <w:r>
        <w:fldChar w:fldCharType="begin"/>
      </w:r>
      <w:r>
        <w:instrText xml:space="preserve"> HYPERLINK \l "_Toc18724"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ascii="Times New Roman"/>
        </w:rPr>
        <w:t>间接人力成本</w:t>
      </w:r>
      <w:r>
        <w:tab/>
      </w:r>
      <w:r>
        <w:fldChar w:fldCharType="begin"/>
      </w:r>
      <w:r>
        <w:instrText xml:space="preserve"> PAGEREF _Toc18724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"_Toc15861" </w:instrText>
      </w:r>
      <w:r>
        <w:fldChar w:fldCharType="separate"/>
      </w:r>
      <w:r>
        <w:rPr>
          <w:rFonts w:hint="eastAsia" w:ascii="黑体" w:hAnsi="Times New Roman" w:eastAsia="黑体"/>
          <w:kern w:val="0"/>
          <w14:scene3d>
            <w14:lightRig w14:rig="threePt" w14:dir="t">
              <w14:rot w14:lat="0" w14:lon="0" w14:rev="0"/>
            </w14:lightRig>
          </w14:scene3d>
        </w:rPr>
        <w:t xml:space="preserve">6.4 </w:t>
      </w:r>
      <w:r>
        <w:rPr>
          <w:rFonts w:ascii="Times New Roman"/>
        </w:rPr>
        <w:t>直接非人力成本</w:t>
      </w:r>
      <w:r>
        <w:tab/>
      </w:r>
      <w:r>
        <w:fldChar w:fldCharType="begin"/>
      </w:r>
      <w:r>
        <w:instrText xml:space="preserve"> PAGEREF _Toc15861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"_Toc13671" </w:instrText>
      </w:r>
      <w:r>
        <w:fldChar w:fldCharType="separate"/>
      </w:r>
      <w:r>
        <w:rPr>
          <w:rFonts w:hint="eastAsia" w:ascii="黑体" w:hAnsi="Times New Roman" w:eastAsia="黑体"/>
          <w:kern w:val="0"/>
          <w14:scene3d>
            <w14:lightRig w14:rig="threePt" w14:dir="t">
              <w14:rot w14:lat="0" w14:lon="0" w14:rev="0"/>
            </w14:lightRig>
          </w14:scene3d>
        </w:rPr>
        <w:t xml:space="preserve">6.5 </w:t>
      </w:r>
      <w:r>
        <w:rPr>
          <w:rFonts w:ascii="Times New Roman"/>
        </w:rPr>
        <w:t>间接非人力成本</w:t>
      </w:r>
      <w:r>
        <w:tab/>
      </w:r>
      <w:r>
        <w:fldChar w:fldCharType="begin"/>
      </w:r>
      <w:r>
        <w:instrText xml:space="preserve"> PAGEREF _Toc13671 \h </w:instrText>
      </w:r>
      <w:r>
        <w:fldChar w:fldCharType="separate"/>
      </w:r>
      <w:r>
        <w:t>6</w:t>
      </w:r>
      <w:r>
        <w:fldChar w:fldCharType="end"/>
      </w:r>
      <w:r>
        <w:fldChar w:fldCharType="end"/>
      </w:r>
    </w:p>
    <w:p>
      <w:pPr>
        <w:pStyle w:val="20"/>
        <w:tabs>
          <w:tab w:val="right" w:leader="dot" w:pos="9354"/>
        </w:tabs>
      </w:pPr>
      <w:r>
        <w:fldChar w:fldCharType="begin"/>
      </w:r>
      <w:r>
        <w:instrText xml:space="preserve"> HYPERLINK \l "_Toc17934" </w:instrText>
      </w:r>
      <w:r>
        <w:fldChar w:fldCharType="separate"/>
      </w:r>
      <w:r>
        <w:rPr>
          <w:rFonts w:hint="eastAsia" w:ascii="黑体" w:eastAsia="黑体"/>
        </w:rPr>
        <w:t xml:space="preserve">7 </w:t>
      </w:r>
      <w:r>
        <w:rPr>
          <w:rFonts w:ascii="Times New Roman"/>
        </w:rPr>
        <w:t>应用软件适配改造成本度量</w:t>
      </w:r>
      <w:r>
        <w:tab/>
      </w:r>
      <w:r>
        <w:fldChar w:fldCharType="begin"/>
      </w:r>
      <w:r>
        <w:instrText xml:space="preserve"> PAGEREF _Toc17934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"_Toc1298" </w:instrText>
      </w:r>
      <w:r>
        <w:fldChar w:fldCharType="separate"/>
      </w:r>
      <w:r>
        <w:rPr>
          <w:rFonts w:hint="eastAsia" w:ascii="黑体" w:hAnsi="Times New Roman" w:eastAsia="黑体"/>
          <w:kern w:val="0"/>
          <w14:scene3d>
            <w14:lightRig w14:rig="threePt" w14:dir="t">
              <w14:rot w14:lat="0" w14:lon="0" w14:rev="0"/>
            </w14:lightRig>
          </w14:scene3d>
        </w:rPr>
        <w:t xml:space="preserve">7.1 </w:t>
      </w:r>
      <w:r>
        <w:rPr>
          <w:rFonts w:ascii="Times New Roman"/>
        </w:rPr>
        <w:t>估算</w:t>
      </w:r>
      <w:r>
        <w:tab/>
      </w:r>
      <w:r>
        <w:fldChar w:fldCharType="begin"/>
      </w:r>
      <w:r>
        <w:instrText xml:space="preserve"> PAGEREF _Toc1298 \h </w:instrText>
      </w:r>
      <w:r>
        <w:fldChar w:fldCharType="separate"/>
      </w:r>
      <w:r>
        <w:t>6</w:t>
      </w:r>
      <w:r>
        <w:fldChar w:fldCharType="end"/>
      </w:r>
      <w:r>
        <w:fldChar w:fldCharType="end"/>
      </w:r>
    </w:p>
    <w:p>
      <w:pPr>
        <w:pStyle w:val="25"/>
        <w:tabs>
          <w:tab w:val="right" w:leader="dot" w:pos="9354"/>
          <w:tab w:val="clear" w:pos="9344"/>
        </w:tabs>
      </w:pPr>
      <w:r>
        <w:fldChar w:fldCharType="begin"/>
      </w:r>
      <w:r>
        <w:instrText xml:space="preserve"> HYPERLINK \l "_Toc13130" </w:instrText>
      </w:r>
      <w:r>
        <w:fldChar w:fldCharType="separate"/>
      </w:r>
      <w:r>
        <w:rPr>
          <w:rFonts w:hint="eastAsia" w:ascii="黑体" w:hAnsi="Times New Roman" w:eastAsia="黑体"/>
          <w:kern w:val="0"/>
          <w14:scene3d>
            <w14:lightRig w14:rig="threePt" w14:dir="t">
              <w14:rot w14:lat="0" w14:lon="0" w14:rev="0"/>
            </w14:lightRig>
          </w14:scene3d>
        </w:rPr>
        <w:t xml:space="preserve">7.2 </w:t>
      </w:r>
      <w:r>
        <w:rPr>
          <w:rFonts w:ascii="Times New Roman"/>
        </w:rPr>
        <w:t>测量</w:t>
      </w:r>
      <w:r>
        <w:tab/>
      </w:r>
      <w:r>
        <w:fldChar w:fldCharType="begin"/>
      </w:r>
      <w:r>
        <w:instrText xml:space="preserve"> PAGEREF _Toc13130 \h </w:instrText>
      </w:r>
      <w:r>
        <w:fldChar w:fldCharType="separate"/>
      </w:r>
      <w:r>
        <w:t>11</w:t>
      </w:r>
      <w:r>
        <w:fldChar w:fldCharType="end"/>
      </w:r>
      <w:r>
        <w:fldChar w:fldCharType="end"/>
      </w:r>
    </w:p>
    <w:p>
      <w:pPr>
        <w:pStyle w:val="20"/>
        <w:tabs>
          <w:tab w:val="right" w:leader="dot" w:pos="9354"/>
        </w:tabs>
      </w:pPr>
      <w:r>
        <w:fldChar w:fldCharType="begin"/>
      </w:r>
      <w:r>
        <w:instrText xml:space="preserve"> HYPERLINK \l "_Toc27721" </w:instrText>
      </w:r>
      <w:r>
        <w:fldChar w:fldCharType="separate"/>
      </w:r>
      <w:r>
        <w:rPr>
          <w:rFonts w:hint="eastAsia" w:ascii="Times New Roman"/>
          <w:spacing w:val="100"/>
        </w:rPr>
        <w:t xml:space="preserve">附录A </w:t>
      </w:r>
      <w:r>
        <w:rPr>
          <w:rFonts w:ascii="Times New Roman"/>
        </w:rPr>
        <w:t xml:space="preserve"> （规范性） 适配点计数基本规则</w:t>
      </w:r>
      <w:r>
        <w:tab/>
      </w:r>
      <w:r>
        <w:fldChar w:fldCharType="begin"/>
      </w:r>
      <w:r>
        <w:instrText xml:space="preserve"> PAGEREF _Toc27721 \h </w:instrText>
      </w:r>
      <w:r>
        <w:fldChar w:fldCharType="separate"/>
      </w:r>
      <w:r>
        <w:t>13</w:t>
      </w:r>
      <w:r>
        <w:fldChar w:fldCharType="end"/>
      </w:r>
      <w:r>
        <w:fldChar w:fldCharType="end"/>
      </w:r>
    </w:p>
    <w:p>
      <w:pPr>
        <w:pStyle w:val="25"/>
        <w:tabs>
          <w:tab w:val="right" w:leader="dot" w:pos="9354"/>
          <w:tab w:val="clear" w:pos="9344"/>
        </w:tabs>
      </w:pPr>
      <w:r>
        <w:fldChar w:fldCharType="begin"/>
      </w:r>
      <w:r>
        <w:instrText xml:space="preserve"> HYPERLINK \l "_Toc9733" </w:instrText>
      </w:r>
      <w:r>
        <w:fldChar w:fldCharType="separate"/>
      </w:r>
      <w:r>
        <w:rPr>
          <w:rFonts w:hint="eastAsia" w:ascii="黑体" w:eastAsia="黑体"/>
        </w:rPr>
        <w:t xml:space="preserve">A.1 </w:t>
      </w:r>
      <w:r>
        <w:rPr>
          <w:rFonts w:ascii="Times New Roman"/>
        </w:rPr>
        <w:t>中间件适配</w:t>
      </w:r>
      <w:r>
        <w:tab/>
      </w:r>
      <w:r>
        <w:fldChar w:fldCharType="begin"/>
      </w:r>
      <w:r>
        <w:instrText xml:space="preserve"> PAGEREF _Toc9733 \h </w:instrText>
      </w:r>
      <w:r>
        <w:fldChar w:fldCharType="separate"/>
      </w:r>
      <w:r>
        <w:t>13</w:t>
      </w:r>
      <w:r>
        <w:fldChar w:fldCharType="end"/>
      </w:r>
      <w:r>
        <w:fldChar w:fldCharType="end"/>
      </w:r>
    </w:p>
    <w:p>
      <w:pPr>
        <w:pStyle w:val="25"/>
        <w:tabs>
          <w:tab w:val="right" w:leader="dot" w:pos="9354"/>
          <w:tab w:val="clear" w:pos="9344"/>
        </w:tabs>
      </w:pPr>
      <w:r>
        <w:fldChar w:fldCharType="begin"/>
      </w:r>
      <w:r>
        <w:instrText xml:space="preserve"> HYPERLINK \l "_Toc31642" </w:instrText>
      </w:r>
      <w:r>
        <w:fldChar w:fldCharType="separate"/>
      </w:r>
      <w:r>
        <w:rPr>
          <w:rFonts w:hint="eastAsia" w:ascii="黑体" w:eastAsia="黑体"/>
        </w:rPr>
        <w:t xml:space="preserve">A.2 </w:t>
      </w:r>
      <w:r>
        <w:rPr>
          <w:rFonts w:ascii="Times New Roman"/>
        </w:rPr>
        <w:t>数据库适配</w:t>
      </w:r>
      <w:r>
        <w:tab/>
      </w:r>
      <w:r>
        <w:fldChar w:fldCharType="begin"/>
      </w:r>
      <w:r>
        <w:instrText xml:space="preserve"> PAGEREF _Toc31642 \h </w:instrText>
      </w:r>
      <w:r>
        <w:fldChar w:fldCharType="separate"/>
      </w:r>
      <w:r>
        <w:t>13</w:t>
      </w:r>
      <w:r>
        <w:fldChar w:fldCharType="end"/>
      </w:r>
      <w:r>
        <w:fldChar w:fldCharType="end"/>
      </w:r>
    </w:p>
    <w:p>
      <w:pPr>
        <w:pStyle w:val="25"/>
        <w:tabs>
          <w:tab w:val="right" w:leader="dot" w:pos="9354"/>
          <w:tab w:val="clear" w:pos="9344"/>
        </w:tabs>
      </w:pPr>
      <w:r>
        <w:fldChar w:fldCharType="begin"/>
      </w:r>
      <w:r>
        <w:instrText xml:space="preserve"> HYPERLINK \l "_Toc8110" </w:instrText>
      </w:r>
      <w:r>
        <w:fldChar w:fldCharType="separate"/>
      </w:r>
      <w:r>
        <w:rPr>
          <w:rFonts w:hint="eastAsia" w:ascii="黑体" w:eastAsia="黑体"/>
        </w:rPr>
        <w:t xml:space="preserve">A.3 </w:t>
      </w:r>
      <w:r>
        <w:rPr>
          <w:rFonts w:ascii="Times New Roman"/>
        </w:rPr>
        <w:t>浏览器适配（界面类型）</w:t>
      </w:r>
      <w:r>
        <w:tab/>
      </w:r>
      <w:r>
        <w:fldChar w:fldCharType="begin"/>
      </w:r>
      <w:r>
        <w:instrText xml:space="preserve"> PAGEREF _Toc8110 \h </w:instrText>
      </w:r>
      <w:r>
        <w:fldChar w:fldCharType="separate"/>
      </w:r>
      <w:r>
        <w:t>13</w:t>
      </w:r>
      <w:r>
        <w:fldChar w:fldCharType="end"/>
      </w:r>
      <w:r>
        <w:fldChar w:fldCharType="end"/>
      </w:r>
    </w:p>
    <w:p>
      <w:pPr>
        <w:pStyle w:val="25"/>
        <w:tabs>
          <w:tab w:val="right" w:leader="dot" w:pos="9354"/>
          <w:tab w:val="clear" w:pos="9344"/>
        </w:tabs>
      </w:pPr>
      <w:r>
        <w:fldChar w:fldCharType="begin"/>
      </w:r>
      <w:r>
        <w:instrText xml:space="preserve"> HYPERLINK \l "_Toc32103" </w:instrText>
      </w:r>
      <w:r>
        <w:fldChar w:fldCharType="separate"/>
      </w:r>
      <w:r>
        <w:rPr>
          <w:rFonts w:hint="eastAsia" w:ascii="黑体" w:eastAsia="黑体"/>
        </w:rPr>
        <w:t xml:space="preserve">A.4 </w:t>
      </w:r>
      <w:r>
        <w:rPr>
          <w:rFonts w:ascii="Times New Roman"/>
        </w:rPr>
        <w:t>插件适配（接口类型）</w:t>
      </w:r>
      <w:r>
        <w:tab/>
      </w:r>
      <w:r>
        <w:fldChar w:fldCharType="begin"/>
      </w:r>
      <w:r>
        <w:instrText xml:space="preserve"> PAGEREF _Toc32103 \h </w:instrText>
      </w:r>
      <w:r>
        <w:fldChar w:fldCharType="separate"/>
      </w:r>
      <w:r>
        <w:t>14</w:t>
      </w:r>
      <w:r>
        <w:fldChar w:fldCharType="end"/>
      </w:r>
      <w:r>
        <w:fldChar w:fldCharType="end"/>
      </w:r>
    </w:p>
    <w:p>
      <w:pPr>
        <w:pStyle w:val="20"/>
        <w:tabs>
          <w:tab w:val="right" w:leader="dot" w:pos="9354"/>
        </w:tabs>
      </w:pPr>
      <w:r>
        <w:fldChar w:fldCharType="begin"/>
      </w:r>
      <w:r>
        <w:instrText xml:space="preserve"> HYPERLINK \l "_Toc7434" </w:instrText>
      </w:r>
      <w:r>
        <w:fldChar w:fldCharType="separate"/>
      </w:r>
      <w:r>
        <w:rPr>
          <w:rFonts w:hint="eastAsia" w:ascii="Times New Roman"/>
          <w:spacing w:val="100"/>
        </w:rPr>
        <w:t xml:space="preserve">附录B </w:t>
      </w:r>
      <w:r>
        <w:rPr>
          <w:rFonts w:ascii="Times New Roman"/>
        </w:rPr>
        <w:t xml:space="preserve"> （资料性） 成本估算方法-比例法</w:t>
      </w:r>
      <w:r>
        <w:tab/>
      </w:r>
      <w:r>
        <w:fldChar w:fldCharType="begin"/>
      </w:r>
      <w:r>
        <w:instrText xml:space="preserve"> PAGEREF _Toc7434 \h </w:instrText>
      </w:r>
      <w:r>
        <w:fldChar w:fldCharType="separate"/>
      </w:r>
      <w:r>
        <w:t>15</w:t>
      </w:r>
      <w:r>
        <w:fldChar w:fldCharType="end"/>
      </w:r>
      <w:r>
        <w:fldChar w:fldCharType="end"/>
      </w:r>
    </w:p>
    <w:p>
      <w:pPr>
        <w:pStyle w:val="20"/>
        <w:tabs>
          <w:tab w:val="right" w:leader="dot" w:pos="9354"/>
        </w:tabs>
      </w:pPr>
      <w:r>
        <w:fldChar w:fldCharType="begin"/>
      </w:r>
      <w:r>
        <w:instrText xml:space="preserve"> HYPERLINK \l "_Toc4006" </w:instrText>
      </w:r>
      <w:r>
        <w:fldChar w:fldCharType="separate"/>
      </w:r>
      <w:r>
        <w:rPr>
          <w:rFonts w:hint="eastAsia" w:ascii="Times New Roman"/>
          <w:spacing w:val="100"/>
        </w:rPr>
        <w:t xml:space="preserve">附录C </w:t>
      </w:r>
      <w:r>
        <w:rPr>
          <w:rFonts w:ascii="Times New Roman"/>
        </w:rPr>
        <w:t xml:space="preserve"> （资料性） 测算参考基准数据</w:t>
      </w:r>
      <w:r>
        <w:tab/>
      </w:r>
      <w:r>
        <w:fldChar w:fldCharType="begin"/>
      </w:r>
      <w:r>
        <w:instrText xml:space="preserve"> PAGEREF _Toc4006 \h </w:instrText>
      </w:r>
      <w:r>
        <w:fldChar w:fldCharType="separate"/>
      </w:r>
      <w:r>
        <w:t>16</w:t>
      </w:r>
      <w:r>
        <w:fldChar w:fldCharType="end"/>
      </w:r>
      <w:r>
        <w:fldChar w:fldCharType="end"/>
      </w:r>
    </w:p>
    <w:p>
      <w:pPr>
        <w:pStyle w:val="25"/>
        <w:tabs>
          <w:tab w:val="right" w:leader="dot" w:pos="9354"/>
          <w:tab w:val="clear" w:pos="9344"/>
        </w:tabs>
      </w:pPr>
      <w:r>
        <w:fldChar w:fldCharType="begin"/>
      </w:r>
      <w:r>
        <w:instrText xml:space="preserve"> HYPERLINK \l "_Toc3955" </w:instrText>
      </w:r>
      <w:r>
        <w:fldChar w:fldCharType="separate"/>
      </w:r>
      <w:r>
        <w:rPr>
          <w:rFonts w:hint="eastAsia" w:ascii="黑体" w:eastAsia="黑体"/>
        </w:rPr>
        <w:t xml:space="preserve">C.1 </w:t>
      </w:r>
      <w:r>
        <w:rPr>
          <w:rFonts w:ascii="Times New Roman"/>
        </w:rPr>
        <w:t>适配改造类工作生产率基准数据</w:t>
      </w:r>
      <w:r>
        <w:tab/>
      </w:r>
      <w:r>
        <w:fldChar w:fldCharType="begin"/>
      </w:r>
      <w:r>
        <w:instrText xml:space="preserve"> PAGEREF _Toc3955 \h </w:instrText>
      </w:r>
      <w:r>
        <w:fldChar w:fldCharType="separate"/>
      </w:r>
      <w:r>
        <w:t>16</w:t>
      </w:r>
      <w:r>
        <w:fldChar w:fldCharType="end"/>
      </w:r>
      <w:r>
        <w:fldChar w:fldCharType="end"/>
      </w:r>
    </w:p>
    <w:p>
      <w:pPr>
        <w:pStyle w:val="25"/>
        <w:tabs>
          <w:tab w:val="right" w:leader="dot" w:pos="9354"/>
          <w:tab w:val="clear" w:pos="9344"/>
        </w:tabs>
      </w:pPr>
      <w:r>
        <w:fldChar w:fldCharType="begin"/>
      </w:r>
      <w:r>
        <w:instrText xml:space="preserve"> HYPERLINK \l "_Toc25757" </w:instrText>
      </w:r>
      <w:r>
        <w:fldChar w:fldCharType="separate"/>
      </w:r>
      <w:r>
        <w:rPr>
          <w:rFonts w:hint="eastAsia" w:ascii="黑体" w:eastAsia="黑体"/>
        </w:rPr>
        <w:t xml:space="preserve">C.2 </w:t>
      </w:r>
      <w:r>
        <w:rPr>
          <w:rFonts w:ascii="Times New Roman"/>
        </w:rPr>
        <w:t>适配改造项目测算示例</w:t>
      </w:r>
      <w:r>
        <w:tab/>
      </w:r>
      <w:r>
        <w:fldChar w:fldCharType="begin"/>
      </w:r>
      <w:r>
        <w:instrText xml:space="preserve"> PAGEREF _Toc25757 \h </w:instrText>
      </w:r>
      <w:r>
        <w:fldChar w:fldCharType="separate"/>
      </w:r>
      <w:r>
        <w:t>16</w:t>
      </w:r>
      <w:r>
        <w:fldChar w:fldCharType="end"/>
      </w:r>
      <w:r>
        <w:fldChar w:fldCharType="end"/>
      </w:r>
    </w:p>
    <w:p>
      <w:pPr>
        <w:pStyle w:val="20"/>
        <w:tabs>
          <w:tab w:val="right" w:leader="dot" w:pos="9354"/>
        </w:tabs>
      </w:pPr>
      <w:r>
        <w:fldChar w:fldCharType="begin"/>
      </w:r>
      <w:r>
        <w:instrText xml:space="preserve"> HYPERLINK \l "_Toc5409" </w:instrText>
      </w:r>
      <w:r>
        <w:fldChar w:fldCharType="separate"/>
      </w:r>
      <w:r>
        <w:rPr>
          <w:rFonts w:ascii="Times New Roman" w:hAnsi="Times New Roman"/>
          <w:spacing w:val="105"/>
        </w:rPr>
        <w:t>参考文</w:t>
      </w:r>
      <w:r>
        <w:rPr>
          <w:rFonts w:ascii="Times New Roman" w:hAnsi="Times New Roman"/>
        </w:rPr>
        <w:t>献</w:t>
      </w:r>
      <w:r>
        <w:tab/>
      </w:r>
      <w:r>
        <w:fldChar w:fldCharType="begin"/>
      </w:r>
      <w:r>
        <w:instrText xml:space="preserve"> PAGEREF _Toc5409 \h </w:instrText>
      </w:r>
      <w:r>
        <w:fldChar w:fldCharType="separate"/>
      </w:r>
      <w:r>
        <w:t>17</w:t>
      </w:r>
      <w:r>
        <w:fldChar w:fldCharType="end"/>
      </w:r>
      <w:r>
        <w:fldChar w:fldCharType="end"/>
      </w:r>
    </w:p>
    <w:p>
      <w:pPr>
        <w:pStyle w:val="95"/>
        <w:spacing w:after="468"/>
        <w:rPr>
          <w:rFonts w:ascii="Times New Roman" w:hAnsi="Times New Roma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14"/>
    <w:p>
      <w:pPr>
        <w:pStyle w:val="93"/>
        <w:shd w:val="clear" w:color="auto" w:fill="auto"/>
        <w:spacing w:before="900" w:after="468"/>
        <w:rPr>
          <w:rFonts w:ascii="Times New Roman"/>
        </w:rPr>
      </w:pPr>
      <w:bookmarkStart w:id="15" w:name="_Toc27916"/>
      <w:bookmarkStart w:id="16" w:name="BookMark2"/>
      <w:r>
        <w:rPr>
          <w:rFonts w:ascii="Times New Roman"/>
          <w:spacing w:val="320"/>
        </w:rPr>
        <w:t>前</w:t>
      </w:r>
      <w:r>
        <w:rPr>
          <w:rFonts w:ascii="Times New Roman"/>
        </w:rPr>
        <w:t>言</w:t>
      </w:r>
      <w:bookmarkEnd w:id="15"/>
    </w:p>
    <w:p>
      <w:pPr>
        <w:pStyle w:val="60"/>
        <w:ind w:firstLine="420"/>
        <w:rPr>
          <w:rFonts w:ascii="Times New Roman"/>
        </w:rPr>
      </w:pPr>
      <w:r>
        <w:rPr>
          <w:rFonts w:ascii="Times New Roman"/>
        </w:rPr>
        <w:t>本文件按照GB/T 1.1—2020《标准化工作导则  第1部分：标准化文件的结构和起草规则》的规定起草。</w:t>
      </w:r>
    </w:p>
    <w:p>
      <w:pPr>
        <w:pStyle w:val="60"/>
        <w:ind w:firstLine="420"/>
        <w:rPr>
          <w:rFonts w:ascii="Times New Roman"/>
        </w:rPr>
      </w:pPr>
      <w:r>
        <w:rPr>
          <w:rFonts w:ascii="Times New Roman"/>
        </w:rPr>
        <w:t>本文件由北京市经济和信息化局提出并归口。</w:t>
      </w:r>
    </w:p>
    <w:p>
      <w:pPr>
        <w:pStyle w:val="60"/>
        <w:ind w:firstLine="420"/>
        <w:rPr>
          <w:rFonts w:ascii="Times New Roman"/>
        </w:rPr>
      </w:pPr>
      <w:r>
        <w:rPr>
          <w:rFonts w:ascii="Times New Roman"/>
        </w:rPr>
        <w:t>本文件组织实施单位：</w:t>
      </w:r>
    </w:p>
    <w:p>
      <w:pPr>
        <w:pStyle w:val="60"/>
        <w:ind w:firstLine="420"/>
        <w:rPr>
          <w:rFonts w:ascii="Times New Roman"/>
        </w:rPr>
      </w:pPr>
      <w:r>
        <w:rPr>
          <w:rFonts w:ascii="Times New Roman"/>
        </w:rPr>
        <w:t>本文件起草单位：</w:t>
      </w:r>
    </w:p>
    <w:p>
      <w:pPr>
        <w:pStyle w:val="60"/>
        <w:ind w:firstLine="420"/>
        <w:rPr>
          <w:rFonts w:ascii="Times New Roman"/>
        </w:rPr>
      </w:pPr>
      <w:r>
        <w:rPr>
          <w:rFonts w:ascii="Times New Roman"/>
        </w:rPr>
        <w:t>本文件主要起草人：</w:t>
      </w:r>
    </w:p>
    <w:p>
      <w:pPr>
        <w:pStyle w:val="60"/>
        <w:ind w:firstLine="420"/>
        <w:rPr>
          <w:rFonts w:ascii="Times New Roman"/>
        </w:rPr>
      </w:pPr>
    </w:p>
    <w:p>
      <w:pPr>
        <w:pStyle w:val="60"/>
        <w:ind w:firstLine="420"/>
        <w:rPr>
          <w:rFonts w:ascii="Times New Roman"/>
        </w:rPr>
        <w:sectPr>
          <w:headerReference r:id="rId14" w:type="even"/>
          <w:footerReference r:id="rId15" w:type="even"/>
          <w:pgSz w:w="11906" w:h="16838"/>
          <w:pgMar w:top="1928" w:right="1134" w:bottom="1134" w:left="1134" w:header="1418" w:footer="1134" w:gutter="284"/>
          <w:pgNumType w:fmt="upperRoman"/>
          <w:cols w:space="425" w:num="1"/>
          <w:formProt w:val="0"/>
          <w:docGrid w:type="lines" w:linePitch="312" w:charSpace="0"/>
        </w:sectPr>
      </w:pPr>
    </w:p>
    <w:bookmarkEnd w:id="16"/>
    <w:p>
      <w:pPr>
        <w:spacing w:line="20" w:lineRule="exact"/>
        <w:jc w:val="center"/>
        <w:rPr>
          <w:rFonts w:ascii="Times New Roman" w:hAnsi="Times New Roman" w:eastAsia="黑体"/>
          <w:sz w:val="32"/>
          <w:szCs w:val="32"/>
        </w:rPr>
      </w:pPr>
      <w:bookmarkStart w:id="17" w:name="BookMark4"/>
    </w:p>
    <w:p>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B8D4875EF9664A2CAE28B9494C0248B9"/>
        </w:placeholder>
      </w:sdtPr>
      <w:sdtEndPr>
        <w:rPr>
          <w:rFonts w:ascii="Times New Roman" w:hAnsi="Times New Roman"/>
        </w:rPr>
      </w:sdtEndPr>
      <w:sdtContent>
        <w:p>
          <w:pPr>
            <w:pStyle w:val="181"/>
            <w:rPr>
              <w:rFonts w:ascii="Times New Roman" w:hAnsi="Times New Roman"/>
            </w:rPr>
          </w:pPr>
          <w:bookmarkStart w:id="18" w:name="NEW_STAND_NAME"/>
          <w:r>
            <w:rPr>
              <w:rFonts w:ascii="Times New Roman" w:hAnsi="Times New Roman"/>
            </w:rPr>
            <w:t>信息技术应用创新 应用软件适配改造成本度量规范</w:t>
          </w:r>
        </w:p>
      </w:sdtContent>
    </w:sdt>
    <w:bookmarkEnd w:id="18"/>
    <w:p>
      <w:pPr>
        <w:pStyle w:val="108"/>
        <w:spacing w:before="312" w:after="312"/>
        <w:rPr>
          <w:rFonts w:ascii="Times New Roman"/>
        </w:rPr>
      </w:pPr>
      <w:bookmarkStart w:id="19" w:name="_Toc26718930"/>
      <w:bookmarkStart w:id="20" w:name="_Toc17233325"/>
      <w:bookmarkStart w:id="21" w:name="_Toc185238789"/>
      <w:bookmarkStart w:id="22" w:name="_Toc97191423"/>
      <w:bookmarkStart w:id="23" w:name="_Toc26986771"/>
      <w:bookmarkStart w:id="24" w:name="_Toc185238779"/>
      <w:bookmarkStart w:id="25" w:name="_Toc24884211"/>
      <w:bookmarkStart w:id="26" w:name="_Toc26648465"/>
      <w:bookmarkStart w:id="27" w:name="_Toc26986530"/>
      <w:bookmarkStart w:id="28" w:name="_Toc24884218"/>
      <w:bookmarkStart w:id="29" w:name="_Toc17233333"/>
      <w:bookmarkStart w:id="30" w:name="_Toc5928"/>
      <w:r>
        <w:rPr>
          <w:rFonts w:ascii="Times New Roman"/>
        </w:rPr>
        <w:t>范围</w:t>
      </w:r>
      <w:bookmarkEnd w:id="19"/>
      <w:bookmarkEnd w:id="20"/>
      <w:bookmarkEnd w:id="21"/>
      <w:bookmarkEnd w:id="22"/>
      <w:bookmarkEnd w:id="23"/>
      <w:bookmarkEnd w:id="24"/>
      <w:bookmarkEnd w:id="25"/>
      <w:bookmarkEnd w:id="26"/>
      <w:bookmarkEnd w:id="27"/>
      <w:bookmarkEnd w:id="28"/>
      <w:bookmarkEnd w:id="29"/>
      <w:bookmarkEnd w:id="30"/>
    </w:p>
    <w:p>
      <w:pPr>
        <w:pStyle w:val="60"/>
        <w:ind w:firstLine="420"/>
        <w:rPr>
          <w:rFonts w:ascii="Times New Roman"/>
        </w:rPr>
      </w:pPr>
      <w:bookmarkStart w:id="31" w:name="_Toc17233326"/>
      <w:bookmarkStart w:id="32" w:name="_Toc17233334"/>
      <w:bookmarkStart w:id="33" w:name="_Toc26648466"/>
      <w:bookmarkStart w:id="34" w:name="_Toc24884212"/>
      <w:bookmarkStart w:id="35" w:name="_Toc24884219"/>
      <w:r>
        <w:rPr>
          <w:rFonts w:ascii="Times New Roman"/>
        </w:rPr>
        <w:t>本文件规定了信息技术应用创新（以下简称信创）环境下，应用软件适配改造成本度量的方法及过程，包括应用软件信创适配改造的工作内容、成本的构成、度量过程及测算方法等。</w:t>
      </w:r>
    </w:p>
    <w:p>
      <w:pPr>
        <w:pStyle w:val="60"/>
        <w:ind w:firstLine="420"/>
        <w:rPr>
          <w:rFonts w:ascii="Times New Roman"/>
        </w:rPr>
      </w:pPr>
      <w:r>
        <w:rPr>
          <w:rFonts w:ascii="Times New Roman"/>
        </w:rPr>
        <w:t>本文件适用于应用软件适配改造的成本估算、成本测量，也适用于已经投入运营的应用软件适配改造项目的成本度量。</w:t>
      </w:r>
    </w:p>
    <w:p>
      <w:pPr>
        <w:pStyle w:val="183"/>
        <w:rPr>
          <w:rFonts w:ascii="Times New Roman"/>
        </w:rPr>
      </w:pPr>
      <w:r>
        <w:rPr>
          <w:rFonts w:ascii="Times New Roman"/>
        </w:rPr>
        <w:t>本文件规定的成本度量过程只针对应用软件与其运行环境构成的基础软硬件及其关联系统的适配改造成本，不包含运行环境涉及的基础软硬件互相适配产生的成本，定制化开发的基础软硬件除外。</w:t>
      </w:r>
    </w:p>
    <w:p>
      <w:pPr>
        <w:pStyle w:val="108"/>
        <w:spacing w:before="312" w:after="312"/>
        <w:rPr>
          <w:rFonts w:ascii="Times New Roman"/>
        </w:rPr>
      </w:pPr>
      <w:bookmarkStart w:id="36" w:name="_Toc185238790"/>
      <w:bookmarkStart w:id="37" w:name="_Toc23535"/>
      <w:bookmarkStart w:id="38" w:name="_Toc26986772"/>
      <w:bookmarkStart w:id="39" w:name="_Toc185238780"/>
      <w:bookmarkStart w:id="40" w:name="_Toc26718931"/>
      <w:bookmarkStart w:id="41" w:name="_Toc26986531"/>
      <w:bookmarkStart w:id="42" w:name="_Toc97191424"/>
      <w:r>
        <w:rPr>
          <w:rFonts w:ascii="Times New Roman"/>
        </w:rPr>
        <w:t>规范性引用文件</w:t>
      </w:r>
      <w:bookmarkEnd w:id="31"/>
      <w:bookmarkEnd w:id="32"/>
      <w:bookmarkEnd w:id="33"/>
      <w:bookmarkEnd w:id="34"/>
      <w:bookmarkEnd w:id="35"/>
      <w:bookmarkEnd w:id="36"/>
      <w:bookmarkEnd w:id="37"/>
      <w:bookmarkEnd w:id="38"/>
      <w:bookmarkEnd w:id="39"/>
      <w:bookmarkEnd w:id="40"/>
      <w:bookmarkEnd w:id="41"/>
      <w:bookmarkEnd w:id="42"/>
    </w:p>
    <w:sdt>
      <w:sdtPr>
        <w:rPr>
          <w:rFonts w:ascii="Times New Roman"/>
        </w:rPr>
        <w:id w:val="715848253"/>
        <w:placeholder>
          <w:docPart w:val="A7A3FF68FBCF4771843AB4D668C1422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pPr>
            <w:pStyle w:val="6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rPr>
          <w:rFonts w:ascii="Times New Roman"/>
        </w:rPr>
      </w:pPr>
      <w:r>
        <w:rPr>
          <w:rFonts w:ascii="Times New Roman"/>
        </w:rPr>
        <w:t>GB/T 18492  信息技术 系统及软件完整性级别</w:t>
      </w:r>
    </w:p>
    <w:p>
      <w:pPr>
        <w:pStyle w:val="60"/>
        <w:ind w:firstLine="420"/>
        <w:rPr>
          <w:rFonts w:ascii="Times New Roman"/>
        </w:rPr>
      </w:pPr>
      <w:r>
        <w:rPr>
          <w:rFonts w:ascii="Times New Roman"/>
        </w:rPr>
        <w:t>GB/T 25000.10  系统与软件工程系统与软件质量要求和评价（SQuaRE） 第10部分:系统与软件质量模型</w:t>
      </w:r>
    </w:p>
    <w:p>
      <w:pPr>
        <w:pStyle w:val="108"/>
        <w:spacing w:before="312" w:after="312"/>
        <w:rPr>
          <w:rFonts w:ascii="Times New Roman"/>
        </w:rPr>
      </w:pPr>
      <w:bookmarkStart w:id="43" w:name="_Toc185238781"/>
      <w:bookmarkStart w:id="44" w:name="_Toc14711"/>
      <w:bookmarkStart w:id="45" w:name="_Toc97191425"/>
      <w:bookmarkStart w:id="46" w:name="_Toc185238791"/>
      <w:r>
        <w:rPr>
          <w:rFonts w:ascii="Times New Roman"/>
          <w:szCs w:val="21"/>
        </w:rPr>
        <w:t>术语和定义</w:t>
      </w:r>
      <w:bookmarkEnd w:id="43"/>
      <w:bookmarkEnd w:id="44"/>
      <w:bookmarkEnd w:id="45"/>
      <w:bookmarkEnd w:id="46"/>
    </w:p>
    <w:sdt>
      <w:sdtPr>
        <w:rPr>
          <w:rFonts w:ascii="Times New Roman"/>
        </w:rPr>
        <w:id w:val="-1909835108"/>
        <w:placeholder>
          <w:docPart w:val="D22D1F1DA8AC4AD5B348751BB9A56F5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pPr>
            <w:pStyle w:val="60"/>
            <w:ind w:firstLine="420"/>
            <w:rPr>
              <w:rFonts w:ascii="Times New Roman"/>
            </w:rPr>
          </w:pPr>
          <w:bookmarkStart w:id="47" w:name="_Toc26986532"/>
          <w:bookmarkEnd w:id="47"/>
          <w:r>
            <w:rPr>
              <w:rFonts w:ascii="Times New Roman"/>
            </w:rPr>
            <w:t>下列术语和定义适用于本文件。</w:t>
          </w:r>
        </w:p>
      </w:sdtContent>
    </w:sdt>
    <w:p>
      <w:pPr>
        <w:pStyle w:val="109"/>
        <w:spacing w:before="156" w:after="156"/>
      </w:pPr>
      <w:bookmarkStart w:id="48" w:name="_Toc185238792"/>
      <w:bookmarkEnd w:id="48"/>
      <w:bookmarkStart w:id="49" w:name="_Toc32184"/>
      <w:bookmarkEnd w:id="49"/>
      <w:bookmarkStart w:id="50" w:name="_Toc185238976"/>
      <w:bookmarkEnd w:id="50"/>
    </w:p>
    <w:p>
      <w:pPr>
        <w:pStyle w:val="234"/>
        <w:numPr>
          <w:ilvl w:val="0"/>
          <w:numId w:val="0"/>
        </w:numPr>
        <w:ind w:firstLine="424" w:firstLineChars="202"/>
        <w:rPr>
          <w:rFonts w:ascii="Times New Roman"/>
        </w:rPr>
      </w:pPr>
      <w:r>
        <w:rPr>
          <w:rFonts w:ascii="Times New Roman"/>
        </w:rPr>
        <w:t>成本度量　</w:t>
      </w:r>
      <w:r>
        <w:rPr>
          <w:rFonts w:ascii="Times New Roman"/>
          <w:b/>
          <w:bCs/>
        </w:rPr>
        <w:t>cost measurement</w:t>
      </w:r>
    </w:p>
    <w:p>
      <w:pPr>
        <w:pStyle w:val="235"/>
        <w:spacing w:before="156"/>
        <w:rPr>
          <w:rFonts w:ascii="Times New Roman"/>
        </w:rPr>
      </w:pPr>
      <w:r>
        <w:rPr>
          <w:rStyle w:val="236"/>
          <w:rFonts w:ascii="Times New Roman"/>
        </w:rPr>
        <w:t>对应用软件适配改造项目成本的预计值进行估算或对实际值进行测量、分析的过程</w:t>
      </w:r>
      <w:r>
        <w:rPr>
          <w:rFonts w:ascii="Times New Roman"/>
        </w:rPr>
        <w:t>。</w:t>
      </w:r>
    </w:p>
    <w:p>
      <w:pPr>
        <w:pStyle w:val="235"/>
        <w:rPr>
          <w:rFonts w:ascii="Times New Roman"/>
        </w:rPr>
      </w:pPr>
      <w:r>
        <w:rPr>
          <w:rFonts w:ascii="Times New Roman"/>
        </w:rPr>
        <w:t>[来源：GB/T 36964—2018，定义3.7，有修改]</w:t>
      </w:r>
    </w:p>
    <w:p>
      <w:pPr>
        <w:pStyle w:val="109"/>
        <w:spacing w:before="156" w:after="156"/>
      </w:pPr>
      <w:bookmarkStart w:id="51" w:name="_Toc185238793"/>
      <w:bookmarkEnd w:id="51"/>
      <w:bookmarkStart w:id="52" w:name="_Toc164340080"/>
      <w:bookmarkEnd w:id="52"/>
      <w:bookmarkStart w:id="53" w:name="_Toc185238977"/>
      <w:bookmarkEnd w:id="53"/>
      <w:bookmarkStart w:id="54" w:name="_Toc14621"/>
      <w:bookmarkEnd w:id="54"/>
    </w:p>
    <w:p>
      <w:pPr>
        <w:pStyle w:val="234"/>
        <w:numPr>
          <w:ilvl w:val="0"/>
          <w:numId w:val="0"/>
        </w:numPr>
        <w:ind w:firstLine="424" w:firstLineChars="202"/>
        <w:rPr>
          <w:rFonts w:ascii="Times New Roman"/>
        </w:rPr>
      </w:pPr>
      <w:r>
        <w:rPr>
          <w:rFonts w:ascii="Times New Roman"/>
        </w:rPr>
        <w:t xml:space="preserve">应用软件适配改造  </w:t>
      </w:r>
      <w:r>
        <w:rPr>
          <w:rFonts w:ascii="Times New Roman"/>
          <w:b/>
          <w:bCs/>
        </w:rPr>
        <w:t xml:space="preserve">application software adaptation and </w:t>
      </w:r>
      <w:r>
        <w:rPr>
          <w:rFonts w:hint="eastAsia" w:ascii="Times New Roman"/>
          <w:b/>
          <w:bCs/>
        </w:rPr>
        <w:t>transformation</w:t>
      </w:r>
    </w:p>
    <w:p>
      <w:pPr>
        <w:pStyle w:val="235"/>
        <w:rPr>
          <w:rFonts w:ascii="Times New Roman"/>
          <w:szCs w:val="21"/>
        </w:rPr>
      </w:pPr>
      <w:r>
        <w:rPr>
          <w:rFonts w:ascii="Times New Roman"/>
          <w:szCs w:val="21"/>
        </w:rPr>
        <w:t>对应用程序或软件进行修改或调整，以使其能够适应信创环境或平台，确保在不同设备、操作系统或网络条件下正常运行，保障业务的连续性和数据安全。</w:t>
      </w:r>
    </w:p>
    <w:p>
      <w:pPr>
        <w:pStyle w:val="184"/>
        <w:rPr>
          <w:rFonts w:ascii="Times New Roman"/>
        </w:rPr>
      </w:pPr>
      <w:r>
        <w:rPr>
          <w:rFonts w:ascii="Times New Roman"/>
        </w:rPr>
        <w:t>通常包括源码编译、应用适配、批处理、性能优化、安全适配、API和库适配等。</w:t>
      </w:r>
    </w:p>
    <w:p>
      <w:pPr>
        <w:pStyle w:val="184"/>
        <w:rPr>
          <w:rFonts w:ascii="Times New Roman"/>
        </w:rPr>
      </w:pPr>
      <w:r>
        <w:rPr>
          <w:rFonts w:ascii="Times New Roman"/>
        </w:rPr>
        <w:t>应用程序</w:t>
      </w:r>
      <w:r>
        <w:rPr>
          <w:rFonts w:hint="eastAsia" w:ascii="Times New Roman"/>
        </w:rPr>
        <w:t>或</w:t>
      </w:r>
      <w:r>
        <w:rPr>
          <w:rFonts w:ascii="Times New Roman"/>
        </w:rPr>
        <w:t>软件主要以客户端应用、原生应用（C/S架构）、页面应用（B/S架构）、嵌入式应用、软硬一体化应用为主要形态。</w:t>
      </w:r>
    </w:p>
    <w:p>
      <w:pPr>
        <w:pStyle w:val="109"/>
        <w:spacing w:before="156" w:after="156"/>
      </w:pPr>
      <w:bookmarkStart w:id="55" w:name="_Toc185238978"/>
      <w:bookmarkEnd w:id="55"/>
      <w:bookmarkStart w:id="56" w:name="_Toc530402765"/>
      <w:bookmarkEnd w:id="56"/>
      <w:bookmarkStart w:id="57" w:name="_Toc164340082"/>
      <w:bookmarkEnd w:id="57"/>
      <w:bookmarkStart w:id="58" w:name="_Toc164340081"/>
      <w:bookmarkEnd w:id="58"/>
      <w:bookmarkStart w:id="59" w:name="_Toc529460852"/>
      <w:bookmarkEnd w:id="59"/>
      <w:bookmarkStart w:id="60" w:name="_Toc185238794"/>
      <w:bookmarkEnd w:id="60"/>
      <w:bookmarkStart w:id="61" w:name="_Toc147926299"/>
      <w:bookmarkEnd w:id="61"/>
      <w:bookmarkStart w:id="62" w:name="_Toc530402610"/>
      <w:bookmarkEnd w:id="62"/>
      <w:bookmarkStart w:id="63" w:name="_Toc21093"/>
      <w:bookmarkEnd w:id="63"/>
      <w:bookmarkStart w:id="64" w:name="_Toc530560830"/>
      <w:bookmarkEnd w:id="64"/>
    </w:p>
    <w:p>
      <w:pPr>
        <w:pStyle w:val="234"/>
        <w:numPr>
          <w:ilvl w:val="0"/>
          <w:numId w:val="0"/>
        </w:numPr>
        <w:ind w:firstLine="424" w:firstLineChars="202"/>
        <w:rPr>
          <w:rFonts w:ascii="Times New Roman"/>
        </w:rPr>
      </w:pPr>
      <w:r>
        <w:rPr>
          <w:rFonts w:ascii="Times New Roman"/>
        </w:rPr>
        <w:t>应用软件适配改造成本　</w:t>
      </w:r>
      <w:r>
        <w:rPr>
          <w:rFonts w:ascii="Times New Roman"/>
          <w:b/>
          <w:bCs/>
        </w:rPr>
        <w:t xml:space="preserve">application software adaptation and </w:t>
      </w:r>
      <w:r>
        <w:rPr>
          <w:rFonts w:hint="eastAsia" w:ascii="Times New Roman"/>
          <w:b/>
          <w:bCs/>
        </w:rPr>
        <w:t>transformation</w:t>
      </w:r>
      <w:r>
        <w:rPr>
          <w:rFonts w:ascii="Times New Roman"/>
          <w:b/>
          <w:bCs/>
        </w:rPr>
        <w:t xml:space="preserve"> cost</w:t>
      </w:r>
    </w:p>
    <w:p>
      <w:pPr>
        <w:pStyle w:val="60"/>
        <w:ind w:firstLine="420"/>
        <w:rPr>
          <w:rFonts w:ascii="Times New Roman"/>
        </w:rPr>
      </w:pPr>
      <w:r>
        <w:rPr>
          <w:rFonts w:ascii="Times New Roman"/>
        </w:rPr>
        <w:t>为达成应用软件适配改造目标，软件开发单位针对应用软件与基础软硬件、运行环境的兼容性适配改造以及相应的数据迁移、安全加固、测试验证、安装调试等工作，确保应用软件可以正常运行所需付出的资源代价总和。</w:t>
      </w:r>
    </w:p>
    <w:p>
      <w:pPr>
        <w:pStyle w:val="183"/>
        <w:rPr>
          <w:rFonts w:ascii="Times New Roman"/>
        </w:rPr>
      </w:pPr>
      <w:r>
        <w:rPr>
          <w:rFonts w:ascii="Times New Roman"/>
        </w:rPr>
        <w:t>资源包括人、财、物、信息等。</w:t>
      </w:r>
    </w:p>
    <w:p>
      <w:pPr>
        <w:pStyle w:val="109"/>
        <w:spacing w:before="156" w:after="156"/>
      </w:pPr>
      <w:bookmarkStart w:id="65" w:name="_Toc530402767"/>
      <w:bookmarkEnd w:id="65"/>
      <w:bookmarkStart w:id="66" w:name="_Toc185238979"/>
      <w:bookmarkEnd w:id="66"/>
      <w:bookmarkStart w:id="67" w:name="_Toc530560832"/>
      <w:bookmarkEnd w:id="67"/>
      <w:bookmarkStart w:id="68" w:name="_Toc14422"/>
      <w:bookmarkEnd w:id="68"/>
      <w:bookmarkStart w:id="69" w:name="_Toc147926300"/>
      <w:bookmarkEnd w:id="69"/>
      <w:bookmarkStart w:id="70" w:name="_Toc185238795"/>
      <w:bookmarkEnd w:id="70"/>
      <w:bookmarkStart w:id="71" w:name="_Toc530402612"/>
      <w:bookmarkEnd w:id="71"/>
      <w:bookmarkStart w:id="72" w:name="_Toc164340083"/>
      <w:bookmarkEnd w:id="72"/>
      <w:bookmarkStart w:id="73" w:name="_Toc529458116"/>
      <w:bookmarkStart w:id="74" w:name="_Toc529458195"/>
    </w:p>
    <w:p>
      <w:pPr>
        <w:pStyle w:val="234"/>
        <w:numPr>
          <w:ilvl w:val="0"/>
          <w:numId w:val="0"/>
        </w:numPr>
        <w:ind w:firstLine="424" w:firstLineChars="202"/>
        <w:rPr>
          <w:rFonts w:ascii="Times New Roman"/>
        </w:rPr>
      </w:pPr>
      <w:bookmarkStart w:id="75" w:name="_Toc345936986"/>
      <w:bookmarkEnd w:id="75"/>
      <w:bookmarkStart w:id="76" w:name="_Toc345947394"/>
      <w:bookmarkEnd w:id="76"/>
      <w:bookmarkStart w:id="77" w:name="_Toc345937039"/>
      <w:bookmarkEnd w:id="77"/>
      <w:bookmarkStart w:id="78" w:name="_Toc529460857"/>
      <w:bookmarkStart w:id="79" w:name="_Toc530402768"/>
      <w:bookmarkStart w:id="80" w:name="_Toc530402613"/>
      <w:bookmarkStart w:id="81" w:name="_Toc530560833"/>
      <w:r>
        <w:rPr>
          <w:rFonts w:ascii="Times New Roman"/>
        </w:rPr>
        <w:t>直接人力成本　</w:t>
      </w:r>
      <w:r>
        <w:rPr>
          <w:rFonts w:ascii="Times New Roman"/>
          <w:b/>
          <w:bCs/>
        </w:rPr>
        <w:t>direct cost</w:t>
      </w:r>
    </w:p>
    <w:p>
      <w:pPr>
        <w:pStyle w:val="235"/>
        <w:spacing w:before="156"/>
        <w:ind w:firstLine="409" w:firstLineChars="195"/>
        <w:rPr>
          <w:rFonts w:ascii="Times New Roman"/>
        </w:rPr>
      </w:pPr>
      <w:r>
        <w:rPr>
          <w:rFonts w:ascii="Times New Roman"/>
        </w:rPr>
        <w:t>为达成应用软件适配改造项目目标而直接付出的各种人力资源代价总和。</w:t>
      </w:r>
    </w:p>
    <w:p>
      <w:pPr>
        <w:pStyle w:val="235"/>
        <w:rPr>
          <w:rFonts w:ascii="Times New Roman"/>
        </w:rPr>
      </w:pPr>
      <w:r>
        <w:rPr>
          <w:rFonts w:ascii="Times New Roman"/>
        </w:rPr>
        <w:t xml:space="preserve"> [来源：DB11/T 1010—2019，定义3.</w:t>
      </w:r>
      <w:r>
        <w:rPr>
          <w:rFonts w:hint="eastAsia" w:ascii="Times New Roman"/>
        </w:rPr>
        <w:t>9</w:t>
      </w:r>
      <w:r>
        <w:rPr>
          <w:rFonts w:ascii="Times New Roman"/>
        </w:rPr>
        <w:t>，有修改]</w:t>
      </w:r>
    </w:p>
    <w:p>
      <w:pPr>
        <w:pStyle w:val="109"/>
        <w:spacing w:before="156" w:after="156"/>
      </w:pPr>
      <w:bookmarkStart w:id="82" w:name="_Toc345947395"/>
      <w:bookmarkEnd w:id="82"/>
      <w:bookmarkStart w:id="83" w:name="_Toc345936987"/>
      <w:bookmarkEnd w:id="83"/>
      <w:bookmarkStart w:id="84" w:name="_Toc185238980"/>
      <w:bookmarkEnd w:id="84"/>
      <w:bookmarkStart w:id="85" w:name="_Toc164340084"/>
      <w:bookmarkEnd w:id="85"/>
      <w:bookmarkStart w:id="86" w:name="_Toc345937040"/>
      <w:bookmarkEnd w:id="86"/>
      <w:bookmarkStart w:id="87" w:name="_Toc185238796"/>
      <w:bookmarkEnd w:id="87"/>
      <w:bookmarkStart w:id="88" w:name="_Toc147926301"/>
      <w:bookmarkEnd w:id="88"/>
      <w:bookmarkStart w:id="89" w:name="_Toc29844"/>
      <w:bookmarkEnd w:id="89"/>
    </w:p>
    <w:p>
      <w:pPr>
        <w:pStyle w:val="234"/>
        <w:numPr>
          <w:ilvl w:val="0"/>
          <w:numId w:val="0"/>
        </w:numPr>
        <w:ind w:firstLine="424" w:firstLineChars="202"/>
        <w:rPr>
          <w:rFonts w:ascii="Times New Roman"/>
        </w:rPr>
      </w:pPr>
      <w:r>
        <w:rPr>
          <w:rFonts w:ascii="Times New Roman"/>
        </w:rPr>
        <w:t>直接非人力成本　</w:t>
      </w:r>
      <w:r>
        <w:rPr>
          <w:rFonts w:ascii="Times New Roman"/>
          <w:b/>
          <w:bCs/>
        </w:rPr>
        <w:t>indirect cost</w:t>
      </w:r>
    </w:p>
    <w:p>
      <w:pPr>
        <w:pStyle w:val="235"/>
        <w:spacing w:before="156"/>
        <w:rPr>
          <w:rFonts w:ascii="Times New Roman"/>
        </w:rPr>
      </w:pPr>
      <w:r>
        <w:rPr>
          <w:rFonts w:ascii="Times New Roman"/>
        </w:rPr>
        <w:t>为达成应用软件适配改造项目目标而直接付出的人力成本之外的其他成本。</w:t>
      </w:r>
    </w:p>
    <w:p>
      <w:pPr>
        <w:pStyle w:val="235"/>
        <w:rPr>
          <w:rFonts w:ascii="Times New Roman"/>
        </w:rPr>
      </w:pPr>
      <w:r>
        <w:rPr>
          <w:rFonts w:ascii="Times New Roman"/>
        </w:rPr>
        <w:t xml:space="preserve"> [来源：DB11/T 1010—2019，定义3.</w:t>
      </w:r>
      <w:r>
        <w:rPr>
          <w:rFonts w:hint="eastAsia" w:ascii="Times New Roman"/>
        </w:rPr>
        <w:t>10</w:t>
      </w:r>
      <w:r>
        <w:rPr>
          <w:rFonts w:ascii="Times New Roman"/>
        </w:rPr>
        <w:t>，有修改]</w:t>
      </w:r>
    </w:p>
    <w:p>
      <w:pPr>
        <w:pStyle w:val="109"/>
        <w:spacing w:before="156" w:after="156"/>
      </w:pPr>
      <w:bookmarkStart w:id="90" w:name="_Toc11093"/>
      <w:bookmarkEnd w:id="90"/>
      <w:bookmarkStart w:id="91" w:name="_Toc345936988"/>
      <w:bookmarkEnd w:id="91"/>
      <w:bookmarkStart w:id="92" w:name="_Toc147926302"/>
      <w:bookmarkEnd w:id="92"/>
      <w:bookmarkStart w:id="93" w:name="_Toc185238981"/>
      <w:bookmarkEnd w:id="93"/>
      <w:bookmarkStart w:id="94" w:name="_Toc345937041"/>
      <w:bookmarkEnd w:id="94"/>
      <w:bookmarkStart w:id="95" w:name="_Toc345947396"/>
      <w:bookmarkEnd w:id="95"/>
      <w:bookmarkStart w:id="96" w:name="_Toc164340085"/>
      <w:bookmarkEnd w:id="96"/>
      <w:bookmarkStart w:id="97" w:name="_Toc185238797"/>
      <w:bookmarkEnd w:id="97"/>
    </w:p>
    <w:p>
      <w:pPr>
        <w:pStyle w:val="234"/>
        <w:numPr>
          <w:ilvl w:val="0"/>
          <w:numId w:val="0"/>
        </w:numPr>
        <w:ind w:firstLine="424" w:firstLineChars="202"/>
        <w:rPr>
          <w:rFonts w:ascii="Times New Roman"/>
          <w:b/>
          <w:bCs/>
        </w:rPr>
      </w:pPr>
      <w:r>
        <w:rPr>
          <w:rFonts w:ascii="Times New Roman"/>
        </w:rPr>
        <w:t>间接人力成本</w:t>
      </w:r>
      <w:r>
        <w:rPr>
          <w:rFonts w:ascii="Times New Roman"/>
          <w:b/>
          <w:bCs/>
        </w:rPr>
        <w:t>　human resource cost</w:t>
      </w:r>
    </w:p>
    <w:p>
      <w:pPr>
        <w:pStyle w:val="235"/>
        <w:spacing w:before="156"/>
        <w:rPr>
          <w:rFonts w:ascii="Times New Roman"/>
        </w:rPr>
      </w:pPr>
      <w:r>
        <w:rPr>
          <w:rFonts w:ascii="Times New Roman"/>
        </w:rPr>
        <w:t>与达成应用软件适配改造项目目标相关，但同一种投入可以支持一个以上项目的联合人力成本。</w:t>
      </w:r>
    </w:p>
    <w:p>
      <w:pPr>
        <w:pStyle w:val="235"/>
        <w:rPr>
          <w:rFonts w:ascii="Times New Roman"/>
        </w:rPr>
      </w:pPr>
      <w:r>
        <w:rPr>
          <w:rFonts w:ascii="Times New Roman"/>
        </w:rPr>
        <w:t>[来源：DB11/T 1010—2019，定义3.</w:t>
      </w:r>
      <w:r>
        <w:rPr>
          <w:rFonts w:hint="eastAsia" w:ascii="Times New Roman"/>
        </w:rPr>
        <w:t>11</w:t>
      </w:r>
      <w:r>
        <w:rPr>
          <w:rFonts w:ascii="Times New Roman"/>
        </w:rPr>
        <w:t>，有修改]</w:t>
      </w:r>
    </w:p>
    <w:p>
      <w:pPr>
        <w:pStyle w:val="109"/>
        <w:spacing w:before="156" w:after="156"/>
      </w:pPr>
      <w:bookmarkStart w:id="98" w:name="_Toc345937042"/>
      <w:bookmarkEnd w:id="98"/>
      <w:bookmarkStart w:id="99" w:name="_Toc147926303"/>
      <w:bookmarkEnd w:id="99"/>
      <w:bookmarkStart w:id="100" w:name="_Toc185238798"/>
      <w:bookmarkEnd w:id="100"/>
      <w:bookmarkStart w:id="101" w:name="_Toc185238982"/>
      <w:bookmarkEnd w:id="101"/>
      <w:bookmarkStart w:id="102" w:name="_Toc25491"/>
      <w:bookmarkEnd w:id="102"/>
      <w:bookmarkStart w:id="103" w:name="_Toc164340086"/>
      <w:bookmarkEnd w:id="103"/>
      <w:bookmarkStart w:id="104" w:name="_Toc345936989"/>
      <w:bookmarkEnd w:id="104"/>
      <w:bookmarkStart w:id="105" w:name="_Toc345947397"/>
      <w:bookmarkEnd w:id="105"/>
    </w:p>
    <w:p>
      <w:pPr>
        <w:pStyle w:val="234"/>
        <w:numPr>
          <w:ilvl w:val="0"/>
          <w:numId w:val="0"/>
        </w:numPr>
        <w:ind w:firstLine="424" w:firstLineChars="202"/>
        <w:rPr>
          <w:rFonts w:ascii="Times New Roman"/>
        </w:rPr>
      </w:pPr>
      <w:r>
        <w:rPr>
          <w:rFonts w:ascii="Times New Roman"/>
        </w:rPr>
        <w:t>间接非人力成本　</w:t>
      </w:r>
      <w:r>
        <w:rPr>
          <w:rFonts w:ascii="Times New Roman"/>
          <w:b/>
          <w:bCs/>
        </w:rPr>
        <w:t>non-human resource cost</w:t>
      </w:r>
    </w:p>
    <w:p>
      <w:pPr>
        <w:pStyle w:val="235"/>
        <w:rPr>
          <w:rFonts w:ascii="Times New Roman"/>
        </w:rPr>
      </w:pPr>
      <w:r>
        <w:rPr>
          <w:rFonts w:ascii="Times New Roman"/>
        </w:rPr>
        <w:t>不为开发某个特定项目而产生，但服务于整体适配改造活动的非人力成本分摊。</w:t>
      </w:r>
    </w:p>
    <w:p>
      <w:pPr>
        <w:pStyle w:val="235"/>
        <w:rPr>
          <w:rFonts w:ascii="Times New Roman"/>
        </w:rPr>
      </w:pPr>
      <w:r>
        <w:rPr>
          <w:rFonts w:ascii="Times New Roman"/>
        </w:rPr>
        <w:t>[来源：DB11/T 1010—2019，定义3.</w:t>
      </w:r>
      <w:r>
        <w:rPr>
          <w:rFonts w:hint="eastAsia" w:ascii="Times New Roman"/>
        </w:rPr>
        <w:t>12</w:t>
      </w:r>
      <w:r>
        <w:rPr>
          <w:rFonts w:ascii="Times New Roman"/>
        </w:rPr>
        <w:t>，有修改]</w:t>
      </w:r>
    </w:p>
    <w:bookmarkEnd w:id="73"/>
    <w:bookmarkEnd w:id="74"/>
    <w:bookmarkEnd w:id="78"/>
    <w:bookmarkEnd w:id="79"/>
    <w:bookmarkEnd w:id="80"/>
    <w:bookmarkEnd w:id="81"/>
    <w:p>
      <w:pPr>
        <w:pStyle w:val="109"/>
        <w:spacing w:before="156" w:after="156"/>
      </w:pPr>
      <w:bookmarkStart w:id="106" w:name="_Toc147926305"/>
      <w:bookmarkEnd w:id="106"/>
      <w:bookmarkStart w:id="107" w:name="_Toc345937043"/>
      <w:bookmarkEnd w:id="107"/>
      <w:bookmarkStart w:id="108" w:name="_Toc530402769"/>
      <w:bookmarkEnd w:id="108"/>
      <w:bookmarkStart w:id="109" w:name="_Toc529460858"/>
      <w:bookmarkEnd w:id="109"/>
      <w:bookmarkStart w:id="110" w:name="_Toc530402614"/>
      <w:bookmarkEnd w:id="110"/>
      <w:bookmarkStart w:id="111" w:name="_Toc185238983"/>
      <w:bookmarkEnd w:id="111"/>
      <w:bookmarkStart w:id="112" w:name="_Toc345936990"/>
      <w:bookmarkEnd w:id="112"/>
      <w:bookmarkStart w:id="113" w:name="_Toc185238799"/>
      <w:bookmarkEnd w:id="113"/>
      <w:bookmarkStart w:id="114" w:name="_Toc147926304"/>
      <w:bookmarkEnd w:id="114"/>
      <w:bookmarkStart w:id="115" w:name="_Toc164340088"/>
      <w:bookmarkEnd w:id="115"/>
      <w:bookmarkStart w:id="116" w:name="_Toc530560834"/>
      <w:bookmarkEnd w:id="116"/>
      <w:bookmarkStart w:id="117" w:name="_Toc164340087"/>
      <w:bookmarkEnd w:id="117"/>
      <w:bookmarkStart w:id="118" w:name="_Toc2186"/>
      <w:bookmarkEnd w:id="118"/>
      <w:bookmarkStart w:id="119" w:name="_Toc345947398"/>
      <w:bookmarkEnd w:id="119"/>
      <w:bookmarkStart w:id="120" w:name="_Toc529458196"/>
      <w:bookmarkStart w:id="121" w:name="_Toc529458117"/>
    </w:p>
    <w:bookmarkEnd w:id="120"/>
    <w:bookmarkEnd w:id="121"/>
    <w:p>
      <w:pPr>
        <w:pStyle w:val="234"/>
        <w:numPr>
          <w:ilvl w:val="0"/>
          <w:numId w:val="0"/>
        </w:numPr>
        <w:ind w:firstLine="424" w:firstLineChars="202"/>
        <w:rPr>
          <w:rFonts w:ascii="Times New Roman"/>
        </w:rPr>
      </w:pPr>
      <w:r>
        <w:rPr>
          <w:rFonts w:ascii="Times New Roman"/>
        </w:rPr>
        <w:t>功能点　</w:t>
      </w:r>
      <w:r>
        <w:rPr>
          <w:rFonts w:ascii="Times New Roman"/>
          <w:b/>
          <w:bCs/>
        </w:rPr>
        <w:t>function point；FP</w:t>
      </w:r>
    </w:p>
    <w:p>
      <w:pPr>
        <w:pStyle w:val="235"/>
        <w:spacing w:line="360" w:lineRule="auto"/>
        <w:rPr>
          <w:rFonts w:ascii="Times New Roman"/>
        </w:rPr>
      </w:pPr>
      <w:r>
        <w:rPr>
          <w:rFonts w:ascii="Times New Roman"/>
        </w:rPr>
        <w:t>衡量软件功能规模的一种单位。</w:t>
      </w:r>
    </w:p>
    <w:p>
      <w:pPr>
        <w:pStyle w:val="235"/>
        <w:rPr>
          <w:rFonts w:ascii="Times New Roman"/>
        </w:rPr>
      </w:pPr>
      <w:r>
        <w:rPr>
          <w:rFonts w:ascii="Times New Roman"/>
        </w:rPr>
        <w:t>[来源：DB11/T 1010—2019，定义3.18]</w:t>
      </w:r>
    </w:p>
    <w:p>
      <w:pPr>
        <w:pStyle w:val="109"/>
        <w:spacing w:before="156" w:after="156"/>
      </w:pPr>
      <w:bookmarkStart w:id="122" w:name="_Toc185238984"/>
      <w:bookmarkEnd w:id="122"/>
      <w:bookmarkStart w:id="123" w:name="_Toc18173"/>
      <w:bookmarkEnd w:id="123"/>
      <w:bookmarkStart w:id="124" w:name="_Toc164340089"/>
      <w:bookmarkEnd w:id="124"/>
      <w:bookmarkStart w:id="125" w:name="_Toc185238800"/>
      <w:bookmarkEnd w:id="125"/>
      <w:bookmarkStart w:id="126" w:name="_Toc147926306"/>
      <w:bookmarkEnd w:id="126"/>
    </w:p>
    <w:p>
      <w:pPr>
        <w:pStyle w:val="234"/>
        <w:numPr>
          <w:ilvl w:val="0"/>
          <w:numId w:val="0"/>
        </w:numPr>
        <w:tabs>
          <w:tab w:val="left" w:pos="284"/>
          <w:tab w:val="clear" w:pos="0"/>
        </w:tabs>
        <w:ind w:left="424" w:leftChars="202"/>
        <w:rPr>
          <w:rFonts w:ascii="Times New Roman"/>
        </w:rPr>
      </w:pPr>
      <w:r>
        <w:rPr>
          <w:rFonts w:ascii="Times New Roman"/>
        </w:rPr>
        <w:t xml:space="preserve">适配点  </w:t>
      </w:r>
      <w:r>
        <w:rPr>
          <w:rFonts w:ascii="Times New Roman"/>
          <w:b/>
          <w:bCs/>
        </w:rPr>
        <w:t>adapter point</w:t>
      </w:r>
      <w:r>
        <w:rPr>
          <w:rFonts w:ascii="Times New Roman"/>
        </w:rPr>
        <w:t>；</w:t>
      </w:r>
      <w:r>
        <w:rPr>
          <w:rFonts w:ascii="Times New Roman"/>
          <w:b/>
          <w:bCs/>
        </w:rPr>
        <w:t>AP</w:t>
      </w:r>
    </w:p>
    <w:p>
      <w:pPr>
        <w:pStyle w:val="235"/>
        <w:tabs>
          <w:tab w:val="left" w:pos="284"/>
        </w:tabs>
        <w:spacing w:line="360" w:lineRule="auto"/>
        <w:ind w:left="424" w:leftChars="202" w:firstLine="0" w:firstLineChars="0"/>
        <w:rPr>
          <w:rFonts w:ascii="Times New Roman"/>
        </w:rPr>
      </w:pPr>
      <w:r>
        <w:rPr>
          <w:rFonts w:ascii="Times New Roman"/>
        </w:rPr>
        <w:t>衡量应用软件适配改造项目规模的一种单位。</w:t>
      </w:r>
    </w:p>
    <w:p>
      <w:pPr>
        <w:pStyle w:val="109"/>
        <w:spacing w:before="156" w:after="156"/>
      </w:pPr>
      <w:bookmarkStart w:id="127" w:name="_Toc185238986"/>
      <w:bookmarkEnd w:id="127"/>
      <w:bookmarkStart w:id="128" w:name="_Toc147926308"/>
      <w:bookmarkEnd w:id="128"/>
      <w:bookmarkStart w:id="129" w:name="_Toc164340090"/>
      <w:bookmarkEnd w:id="129"/>
      <w:bookmarkStart w:id="130" w:name="_Toc147926307"/>
      <w:bookmarkEnd w:id="130"/>
      <w:bookmarkStart w:id="131" w:name="_Toc185238801"/>
      <w:bookmarkEnd w:id="131"/>
      <w:bookmarkStart w:id="132" w:name="_Toc185238802"/>
      <w:bookmarkEnd w:id="132"/>
      <w:bookmarkStart w:id="133" w:name="_Toc185238985"/>
      <w:bookmarkEnd w:id="133"/>
      <w:bookmarkStart w:id="134" w:name="_Toc77"/>
      <w:bookmarkEnd w:id="134"/>
      <w:bookmarkStart w:id="135" w:name="_Toc164340091"/>
      <w:bookmarkEnd w:id="135"/>
    </w:p>
    <w:p>
      <w:pPr>
        <w:pStyle w:val="234"/>
        <w:numPr>
          <w:ilvl w:val="0"/>
          <w:numId w:val="0"/>
        </w:numPr>
        <w:ind w:left="284" w:firstLine="140" w:firstLineChars="67"/>
        <w:rPr>
          <w:rFonts w:ascii="Times New Roman"/>
        </w:rPr>
      </w:pPr>
      <w:r>
        <w:rPr>
          <w:rFonts w:ascii="Times New Roman"/>
        </w:rPr>
        <w:t>方程法　</w:t>
      </w:r>
      <w:r>
        <w:rPr>
          <w:rFonts w:ascii="Times New Roman"/>
          <w:b/>
          <w:bCs/>
        </w:rPr>
        <w:t>equation</w:t>
      </w:r>
    </w:p>
    <w:p>
      <w:pPr>
        <w:pStyle w:val="235"/>
        <w:tabs>
          <w:tab w:val="left" w:pos="284"/>
        </w:tabs>
        <w:ind w:left="424" w:leftChars="202" w:firstLine="0" w:firstLineChars="0"/>
        <w:rPr>
          <w:rFonts w:ascii="Times New Roman"/>
        </w:rPr>
      </w:pPr>
      <w:r>
        <w:rPr>
          <w:rFonts w:ascii="Times New Roman"/>
        </w:rPr>
        <w:t>基于基准数据建立参数模型，并通过输入各项参数，确定待估算项目工作量或成本估算值的方法。</w:t>
      </w:r>
      <w:bookmarkStart w:id="136" w:name="_Toc345947400"/>
      <w:bookmarkEnd w:id="136"/>
      <w:bookmarkStart w:id="137" w:name="_Toc345936992"/>
      <w:bookmarkEnd w:id="137"/>
      <w:bookmarkStart w:id="138" w:name="_Toc345937045"/>
      <w:bookmarkEnd w:id="138"/>
    </w:p>
    <w:p>
      <w:pPr>
        <w:pStyle w:val="235"/>
        <w:rPr>
          <w:rFonts w:ascii="Times New Roman"/>
        </w:rPr>
      </w:pPr>
      <w:r>
        <w:rPr>
          <w:rFonts w:ascii="Times New Roman"/>
        </w:rPr>
        <w:t>[来源：GB/T 36964—2018，定义3.8]</w:t>
      </w:r>
    </w:p>
    <w:p>
      <w:pPr>
        <w:pStyle w:val="109"/>
        <w:spacing w:before="156" w:after="156"/>
      </w:pPr>
      <w:bookmarkStart w:id="139" w:name="_Toc185238987"/>
      <w:bookmarkEnd w:id="139"/>
      <w:bookmarkStart w:id="140" w:name="_Toc147926309"/>
      <w:bookmarkEnd w:id="140"/>
      <w:bookmarkStart w:id="141" w:name="_Toc185238803"/>
      <w:bookmarkEnd w:id="141"/>
      <w:bookmarkStart w:id="142" w:name="_Toc16464"/>
      <w:bookmarkEnd w:id="142"/>
      <w:bookmarkStart w:id="143" w:name="_Toc164340092"/>
      <w:bookmarkEnd w:id="143"/>
    </w:p>
    <w:p>
      <w:pPr>
        <w:pStyle w:val="234"/>
        <w:numPr>
          <w:ilvl w:val="0"/>
          <w:numId w:val="0"/>
        </w:numPr>
        <w:ind w:left="284" w:firstLine="140" w:firstLineChars="67"/>
        <w:rPr>
          <w:rFonts w:ascii="Times New Roman"/>
        </w:rPr>
      </w:pPr>
      <w:r>
        <w:rPr>
          <w:rFonts w:ascii="Times New Roman"/>
        </w:rPr>
        <w:t>类比法　</w:t>
      </w:r>
      <w:r>
        <w:rPr>
          <w:rFonts w:ascii="Times New Roman"/>
          <w:b/>
          <w:bCs/>
        </w:rPr>
        <w:t>comparison</w:t>
      </w:r>
    </w:p>
    <w:p>
      <w:pPr>
        <w:pStyle w:val="235"/>
        <w:tabs>
          <w:tab w:val="left" w:pos="284"/>
        </w:tabs>
        <w:ind w:firstLine="424" w:firstLineChars="202"/>
        <w:rPr>
          <w:rFonts w:ascii="Times New Roman"/>
        </w:rPr>
      </w:pPr>
      <w:r>
        <w:rPr>
          <w:rFonts w:ascii="Times New Roman"/>
        </w:rPr>
        <w:t>将本项目的部分属性与类似的一组基准数据进行比对，进而获得待估算项目工作量或成本估算值的方法。</w:t>
      </w:r>
    </w:p>
    <w:p>
      <w:pPr>
        <w:pStyle w:val="235"/>
        <w:rPr>
          <w:rFonts w:ascii="Times New Roman"/>
        </w:rPr>
      </w:pPr>
      <w:r>
        <w:rPr>
          <w:rFonts w:ascii="Times New Roman"/>
        </w:rPr>
        <w:t>[来源：GB/T 36964—2018，定义3.9]</w:t>
      </w:r>
    </w:p>
    <w:p>
      <w:pPr>
        <w:pStyle w:val="109"/>
        <w:spacing w:before="156" w:after="156"/>
      </w:pPr>
      <w:bookmarkStart w:id="144" w:name="_Toc185238804"/>
      <w:bookmarkEnd w:id="144"/>
      <w:bookmarkStart w:id="145" w:name="_Toc185238988"/>
      <w:bookmarkEnd w:id="145"/>
      <w:bookmarkStart w:id="146" w:name="_Toc7839"/>
      <w:bookmarkEnd w:id="146"/>
      <w:bookmarkStart w:id="147" w:name="_Toc345947401"/>
      <w:bookmarkEnd w:id="147"/>
      <w:bookmarkStart w:id="148" w:name="_Toc345937046"/>
      <w:bookmarkEnd w:id="148"/>
      <w:bookmarkStart w:id="149" w:name="_Toc147926310"/>
      <w:bookmarkEnd w:id="149"/>
      <w:bookmarkStart w:id="150" w:name="_Toc164340093"/>
      <w:bookmarkEnd w:id="150"/>
      <w:bookmarkStart w:id="151" w:name="_Toc345936993"/>
      <w:bookmarkEnd w:id="151"/>
    </w:p>
    <w:p>
      <w:pPr>
        <w:pStyle w:val="234"/>
        <w:numPr>
          <w:ilvl w:val="0"/>
          <w:numId w:val="0"/>
        </w:numPr>
        <w:ind w:left="284" w:firstLine="140" w:firstLineChars="67"/>
        <w:rPr>
          <w:rFonts w:ascii="Times New Roman"/>
        </w:rPr>
      </w:pPr>
      <w:r>
        <w:rPr>
          <w:rFonts w:ascii="Times New Roman"/>
        </w:rPr>
        <w:t>类推法　</w:t>
      </w:r>
      <w:r>
        <w:rPr>
          <w:rFonts w:ascii="Times New Roman"/>
          <w:b/>
          <w:bCs/>
        </w:rPr>
        <w:t>analogy</w:t>
      </w:r>
    </w:p>
    <w:p>
      <w:pPr>
        <w:pStyle w:val="235"/>
        <w:ind w:firstLine="424" w:firstLineChars="202"/>
        <w:rPr>
          <w:rFonts w:ascii="Times New Roman"/>
        </w:rPr>
      </w:pPr>
      <w:r>
        <w:rPr>
          <w:rFonts w:ascii="Times New Roman"/>
        </w:rPr>
        <w:t>将本项目的部分属性与高度类似的一个或几个已完成项目的数据进行比对，适当调整后获得待估算项目工作量或成本估算值的方法。</w:t>
      </w:r>
    </w:p>
    <w:p>
      <w:pPr>
        <w:pStyle w:val="235"/>
        <w:rPr>
          <w:rFonts w:ascii="Times New Roman"/>
        </w:rPr>
      </w:pPr>
      <w:r>
        <w:rPr>
          <w:rFonts w:ascii="Times New Roman"/>
        </w:rPr>
        <w:t>[来源：GB/T 36964—2018，定义3.10]</w:t>
      </w:r>
    </w:p>
    <w:p>
      <w:pPr>
        <w:pStyle w:val="109"/>
        <w:spacing w:before="156" w:after="156"/>
      </w:pPr>
      <w:bookmarkStart w:id="152" w:name="_Toc16925"/>
      <w:bookmarkEnd w:id="152"/>
    </w:p>
    <w:p>
      <w:pPr>
        <w:pStyle w:val="234"/>
        <w:numPr>
          <w:ilvl w:val="0"/>
          <w:numId w:val="0"/>
        </w:numPr>
        <w:ind w:left="284" w:firstLine="140" w:firstLineChars="67"/>
        <w:rPr>
          <w:rFonts w:ascii="Times New Roman"/>
        </w:rPr>
      </w:pPr>
      <w:r>
        <w:rPr>
          <w:rFonts w:ascii="Times New Roman"/>
        </w:rPr>
        <w:t>比例法　</w:t>
      </w:r>
      <w:r>
        <w:rPr>
          <w:rFonts w:ascii="Times New Roman"/>
          <w:b/>
          <w:bCs/>
        </w:rPr>
        <w:t>proportional method</w:t>
      </w:r>
    </w:p>
    <w:p>
      <w:pPr>
        <w:pStyle w:val="235"/>
        <w:ind w:firstLine="424" w:firstLineChars="202"/>
        <w:rPr>
          <w:rFonts w:ascii="Times New Roman"/>
        </w:rPr>
      </w:pPr>
      <w:r>
        <w:rPr>
          <w:rFonts w:ascii="Times New Roman"/>
        </w:rPr>
        <w:t>用原软件资产额的比例系数进行软件适配改造成本估算的方法。</w:t>
      </w:r>
    </w:p>
    <w:p>
      <w:pPr>
        <w:pStyle w:val="109"/>
        <w:spacing w:before="156" w:after="156"/>
      </w:pPr>
      <w:bookmarkStart w:id="153" w:name="_Toc4119"/>
      <w:bookmarkEnd w:id="153"/>
    </w:p>
    <w:p>
      <w:pPr>
        <w:pStyle w:val="234"/>
        <w:numPr>
          <w:ilvl w:val="0"/>
          <w:numId w:val="0"/>
        </w:numPr>
        <w:ind w:left="284" w:firstLine="140" w:firstLineChars="67"/>
        <w:rPr>
          <w:rFonts w:ascii="Times New Roman"/>
        </w:rPr>
      </w:pPr>
      <w:r>
        <w:rPr>
          <w:rFonts w:ascii="Times New Roman"/>
        </w:rPr>
        <w:t xml:space="preserve">原软件资产额  </w:t>
      </w:r>
      <w:r>
        <w:rPr>
          <w:rFonts w:ascii="Times New Roman"/>
          <w:b/>
          <w:bCs/>
        </w:rPr>
        <w:t>original software asset amount</w:t>
      </w:r>
    </w:p>
    <w:p>
      <w:pPr>
        <w:pStyle w:val="235"/>
        <w:ind w:firstLine="424" w:firstLineChars="202"/>
        <w:rPr>
          <w:rFonts w:ascii="Times New Roman"/>
        </w:rPr>
      </w:pPr>
      <w:r>
        <w:rPr>
          <w:rFonts w:ascii="Times New Roman"/>
        </w:rPr>
        <w:t>计入组织软件资产管理范围的软件建设成本的金额。</w:t>
      </w:r>
    </w:p>
    <w:p>
      <w:pPr>
        <w:pStyle w:val="108"/>
        <w:spacing w:before="312" w:after="312"/>
        <w:rPr>
          <w:rFonts w:ascii="Times New Roman"/>
        </w:rPr>
      </w:pPr>
      <w:bookmarkStart w:id="154" w:name="_Toc25020"/>
      <w:r>
        <w:rPr>
          <w:rFonts w:ascii="Times New Roman"/>
        </w:rPr>
        <w:t>缩略语</w:t>
      </w:r>
      <w:bookmarkEnd w:id="154"/>
    </w:p>
    <w:p>
      <w:pPr>
        <w:pStyle w:val="235"/>
        <w:spacing w:line="360" w:lineRule="auto"/>
        <w:rPr>
          <w:rFonts w:ascii="Times New Roman"/>
        </w:rPr>
      </w:pPr>
      <w:r>
        <w:rPr>
          <w:rFonts w:ascii="Times New Roman"/>
        </w:rPr>
        <w:t>下列缩略语适用于本文件。</w:t>
      </w:r>
    </w:p>
    <w:p>
      <w:pPr>
        <w:pStyle w:val="60"/>
        <w:ind w:firstLine="420"/>
        <w:rPr>
          <w:rFonts w:ascii="Times New Roman"/>
        </w:rPr>
      </w:pPr>
      <w:r>
        <w:rPr>
          <w:rFonts w:ascii="Times New Roman"/>
        </w:rPr>
        <w:t>AP：适配点（Adaptive Point）</w:t>
      </w:r>
    </w:p>
    <w:p>
      <w:pPr>
        <w:pStyle w:val="60"/>
        <w:ind w:firstLine="420"/>
        <w:rPr>
          <w:rFonts w:ascii="Times New Roman"/>
        </w:rPr>
      </w:pPr>
      <w:r>
        <w:rPr>
          <w:rFonts w:ascii="Times New Roman"/>
        </w:rPr>
        <w:t>CSS：层叠样式表（Cascading Style Sheets）</w:t>
      </w:r>
    </w:p>
    <w:p>
      <w:pPr>
        <w:pStyle w:val="60"/>
        <w:ind w:firstLine="420"/>
        <w:rPr>
          <w:rFonts w:ascii="Times New Roman"/>
        </w:rPr>
      </w:pPr>
      <w:r>
        <w:rPr>
          <w:rFonts w:ascii="Times New Roman"/>
        </w:rPr>
        <w:t>DDL：数据库模式定义语言（Data Definition Language）</w:t>
      </w:r>
    </w:p>
    <w:p>
      <w:pPr>
        <w:pStyle w:val="60"/>
        <w:ind w:firstLine="420"/>
        <w:rPr>
          <w:rFonts w:ascii="Times New Roman"/>
        </w:rPr>
      </w:pPr>
      <w:r>
        <w:rPr>
          <w:rFonts w:ascii="Times New Roman"/>
        </w:rPr>
        <w:t>DML：数据操纵语言（Data Manipulation Language）</w:t>
      </w:r>
    </w:p>
    <w:p>
      <w:pPr>
        <w:pStyle w:val="60"/>
        <w:ind w:firstLine="420"/>
        <w:rPr>
          <w:rFonts w:ascii="Times New Roman"/>
        </w:rPr>
      </w:pPr>
      <w:r>
        <w:rPr>
          <w:rFonts w:ascii="Times New Roman"/>
        </w:rPr>
        <w:t>DQL：数据查询语言（Data Query Language）</w:t>
      </w:r>
    </w:p>
    <w:p>
      <w:pPr>
        <w:pStyle w:val="60"/>
        <w:ind w:firstLine="420"/>
        <w:rPr>
          <w:rFonts w:ascii="Times New Roman"/>
        </w:rPr>
      </w:pPr>
      <w:r>
        <w:rPr>
          <w:rFonts w:ascii="Times New Roman"/>
        </w:rPr>
        <w:t>FP：功能点（Function Point）</w:t>
      </w:r>
    </w:p>
    <w:p>
      <w:pPr>
        <w:pStyle w:val="60"/>
        <w:ind w:firstLine="420"/>
        <w:rPr>
          <w:rFonts w:ascii="Times New Roman"/>
        </w:rPr>
      </w:pPr>
      <w:r>
        <w:rPr>
          <w:rFonts w:ascii="Times New Roman"/>
        </w:rPr>
        <w:t>JS：脚本语言（JavaScript）</w:t>
      </w:r>
    </w:p>
    <w:p>
      <w:pPr>
        <w:pStyle w:val="108"/>
        <w:spacing w:before="312" w:after="312"/>
        <w:rPr>
          <w:rFonts w:ascii="Times New Roman"/>
        </w:rPr>
      </w:pPr>
      <w:bookmarkStart w:id="155" w:name="_Toc185238805"/>
      <w:bookmarkStart w:id="156" w:name="_Toc185238782"/>
      <w:bookmarkStart w:id="157" w:name="_Toc164340094"/>
      <w:bookmarkStart w:id="158" w:name="_Toc147824126"/>
      <w:bookmarkStart w:id="159" w:name="_Toc19269"/>
      <w:r>
        <w:rPr>
          <w:rFonts w:ascii="Times New Roman"/>
        </w:rPr>
        <w:t>应用软件适配改造工作内容</w:t>
      </w:r>
      <w:bookmarkEnd w:id="155"/>
      <w:bookmarkEnd w:id="156"/>
      <w:bookmarkEnd w:id="157"/>
      <w:bookmarkEnd w:id="158"/>
      <w:bookmarkEnd w:id="159"/>
    </w:p>
    <w:p>
      <w:pPr>
        <w:pStyle w:val="109"/>
        <w:spacing w:before="156" w:after="156"/>
        <w:rPr>
          <w:rFonts w:ascii="Times New Roman"/>
        </w:rPr>
      </w:pPr>
      <w:bookmarkStart w:id="160" w:name="_Toc185238806"/>
      <w:bookmarkStart w:id="161" w:name="_Toc32689"/>
      <w:r>
        <w:rPr>
          <w:rFonts w:ascii="Times New Roman"/>
        </w:rPr>
        <w:t>概述</w:t>
      </w:r>
      <w:bookmarkEnd w:id="160"/>
      <w:bookmarkEnd w:id="161"/>
    </w:p>
    <w:p>
      <w:pPr>
        <w:pStyle w:val="60"/>
        <w:ind w:firstLine="420"/>
        <w:rPr>
          <w:rFonts w:ascii="Times New Roman"/>
        </w:rPr>
      </w:pPr>
      <w:r>
        <w:rPr>
          <w:rFonts w:ascii="Times New Roman"/>
        </w:rPr>
        <w:t>应用软件适配改造主要以实现应用软件在信创基础软硬件、运行环境及相关外设等环境下的兼容适配，确保已有应用软件在信创环境下能够平稳运行</w:t>
      </w:r>
      <w:r>
        <w:rPr>
          <w:rFonts w:hint="eastAsia" w:ascii="Times New Roman"/>
        </w:rPr>
        <w:t>、</w:t>
      </w:r>
      <w:r>
        <w:rPr>
          <w:rFonts w:ascii="Times New Roman"/>
        </w:rPr>
        <w:t>满足原有系统业务需求为目标。根据应用软件适配改造的工作内容，可分为安装配置类、数据迁移类、适配构建类、功能重构类等4个类别。根据应用软件适配改造的工作过程，涉及需求、设计、构建、测试、实施及相关的项目管理支持活动。</w:t>
      </w:r>
    </w:p>
    <w:p>
      <w:pPr>
        <w:pStyle w:val="109"/>
        <w:spacing w:before="156" w:after="156"/>
        <w:rPr>
          <w:rFonts w:ascii="Times New Roman"/>
        </w:rPr>
      </w:pPr>
      <w:bookmarkStart w:id="162" w:name="_Toc10759"/>
      <w:r>
        <w:rPr>
          <w:rFonts w:ascii="Times New Roman"/>
        </w:rPr>
        <w:t>工作内容分类</w:t>
      </w:r>
      <w:bookmarkEnd w:id="162"/>
    </w:p>
    <w:p>
      <w:pPr>
        <w:pStyle w:val="69"/>
        <w:spacing w:before="156" w:after="156"/>
        <w:rPr>
          <w:rFonts w:ascii="Times New Roman"/>
        </w:rPr>
      </w:pPr>
      <w:bookmarkStart w:id="163" w:name="_Toc185238807"/>
      <w:r>
        <w:rPr>
          <w:rFonts w:ascii="Times New Roman"/>
        </w:rPr>
        <w:t>安装配置类</w:t>
      </w:r>
      <w:bookmarkEnd w:id="163"/>
    </w:p>
    <w:p>
      <w:pPr>
        <w:pStyle w:val="60"/>
        <w:ind w:firstLine="420"/>
        <w:rPr>
          <w:rFonts w:ascii="Times New Roman"/>
        </w:rPr>
      </w:pPr>
      <w:r>
        <w:rPr>
          <w:rFonts w:ascii="Times New Roman"/>
        </w:rPr>
        <w:t>针对特定的软件、硬件系统或设备，在原有的安装配置基础上，依据信创环境要求、业务需求、技术规范等，对其安装流程、配置参数、相关依赖组件等进行调整、优化和定制化修改等工作内容。</w:t>
      </w:r>
    </w:p>
    <w:p>
      <w:pPr>
        <w:pStyle w:val="69"/>
        <w:spacing w:before="156" w:after="156"/>
        <w:rPr>
          <w:rFonts w:ascii="Times New Roman"/>
        </w:rPr>
      </w:pPr>
      <w:bookmarkStart w:id="164" w:name="_Toc185238808"/>
      <w:r>
        <w:rPr>
          <w:rFonts w:ascii="Times New Roman"/>
        </w:rPr>
        <w:t>数据迁移类</w:t>
      </w:r>
      <w:bookmarkEnd w:id="164"/>
    </w:p>
    <w:p>
      <w:pPr>
        <w:pStyle w:val="60"/>
        <w:ind w:firstLine="420"/>
        <w:rPr>
          <w:rFonts w:ascii="Times New Roman"/>
        </w:rPr>
      </w:pPr>
      <w:r>
        <w:rPr>
          <w:rFonts w:ascii="Times New Roman"/>
        </w:rPr>
        <w:t>应用软件原有数据向目标运行环境的数据迁移工作，具体包括需求分析、数据清洗、数据抽取、数据转换、数据加载及入库、数据验证、数据优化、迁移文档编制及迁移培训等工作内容。</w:t>
      </w:r>
    </w:p>
    <w:p>
      <w:pPr>
        <w:pStyle w:val="69"/>
        <w:spacing w:before="156" w:after="156"/>
        <w:rPr>
          <w:rFonts w:ascii="Times New Roman"/>
        </w:rPr>
      </w:pPr>
      <w:bookmarkStart w:id="165" w:name="_Toc185238809"/>
      <w:r>
        <w:rPr>
          <w:rFonts w:ascii="Times New Roman"/>
        </w:rPr>
        <w:t>适配构建类</w:t>
      </w:r>
      <w:bookmarkEnd w:id="165"/>
    </w:p>
    <w:p>
      <w:pPr>
        <w:pStyle w:val="60"/>
        <w:ind w:firstLine="420"/>
        <w:rPr>
          <w:rFonts w:ascii="Times New Roman"/>
        </w:rPr>
      </w:pPr>
      <w:r>
        <w:rPr>
          <w:rFonts w:ascii="Times New Roman"/>
        </w:rPr>
        <w:t>为保障应用软件正常运行所进行的兼容与适配改造工作，具体可分为以下几个方面。</w:t>
      </w:r>
    </w:p>
    <w:p>
      <w:pPr>
        <w:pStyle w:val="178"/>
        <w:rPr>
          <w:rFonts w:ascii="Times New Roman"/>
        </w:rPr>
      </w:pPr>
      <w:r>
        <w:rPr>
          <w:rFonts w:ascii="Times New Roman"/>
        </w:rPr>
        <w:t>应用软件与操作系统的兼容适配与改造构建。</w:t>
      </w:r>
    </w:p>
    <w:p>
      <w:pPr>
        <w:pStyle w:val="113"/>
        <w:numPr>
          <w:ilvl w:val="1"/>
          <w:numId w:val="33"/>
        </w:numPr>
        <w:rPr>
          <w:rFonts w:ascii="Times New Roman"/>
        </w:rPr>
      </w:pPr>
      <w:r>
        <w:rPr>
          <w:rFonts w:ascii="Times New Roman"/>
        </w:rPr>
        <w:t>运行环境兼容：应用软件所使用的基础运行环境（如jdk、python、gcc、.net等）与操作系统的兼容适配。</w:t>
      </w:r>
    </w:p>
    <w:p>
      <w:pPr>
        <w:pStyle w:val="113"/>
        <w:rPr>
          <w:rFonts w:ascii="Times New Roman"/>
        </w:rPr>
      </w:pPr>
      <w:r>
        <w:rPr>
          <w:rFonts w:ascii="Times New Roman"/>
        </w:rPr>
        <w:t>依赖处理改造：应用软件所使用的依赖文件、依赖库与操作系统的兼容适配。</w:t>
      </w:r>
    </w:p>
    <w:p>
      <w:pPr>
        <w:pStyle w:val="178"/>
        <w:rPr>
          <w:rFonts w:ascii="Times New Roman"/>
        </w:rPr>
      </w:pPr>
      <w:r>
        <w:rPr>
          <w:rFonts w:ascii="Times New Roman"/>
        </w:rPr>
        <w:t>应用软件与数据库的兼容适配与改造：应用软件对数据库增删改查、数据库表结构设计等相关内容的代码改造与兼容性适配，一般包括检查目标数据库与源数据库的差异点，根据差异分析结果调整应用程序源码并进行测试修改。</w:t>
      </w:r>
    </w:p>
    <w:p>
      <w:pPr>
        <w:pStyle w:val="178"/>
        <w:rPr>
          <w:rFonts w:ascii="Times New Roman"/>
        </w:rPr>
      </w:pPr>
      <w:r>
        <w:rPr>
          <w:rFonts w:ascii="Times New Roman"/>
        </w:rPr>
        <w:t>应用软件与中间件的兼容适配与改造：应用软件与相关中间件的兼容适配与代码优化。</w:t>
      </w:r>
    </w:p>
    <w:p>
      <w:pPr>
        <w:pStyle w:val="178"/>
        <w:rPr>
          <w:rFonts w:ascii="Times New Roman"/>
        </w:rPr>
      </w:pPr>
      <w:r>
        <w:rPr>
          <w:rFonts w:ascii="Times New Roman"/>
        </w:rPr>
        <w:t>应用软件与信创浏览器兼容适配与改造：应用软件与信创浏览器的兼容适配与代码优化，一般包括逐个检查定制软件客户端页面功能是否正常，针对不正常功能进行代码优化或页面设计调整。</w:t>
      </w:r>
    </w:p>
    <w:p>
      <w:pPr>
        <w:pStyle w:val="178"/>
        <w:rPr>
          <w:rFonts w:ascii="Times New Roman"/>
        </w:rPr>
      </w:pPr>
      <w:r>
        <w:rPr>
          <w:rFonts w:ascii="Times New Roman"/>
        </w:rPr>
        <w:t>应用软件与配套软件/插件兼容适配与改造：应用软件所使用的配套软件或插件的兼容适配与代码优化。</w:t>
      </w:r>
    </w:p>
    <w:p>
      <w:pPr>
        <w:pStyle w:val="69"/>
        <w:spacing w:before="156" w:after="156"/>
        <w:rPr>
          <w:rFonts w:ascii="Times New Roman"/>
        </w:rPr>
      </w:pPr>
      <w:bookmarkStart w:id="166" w:name="_Toc185238810"/>
      <w:r>
        <w:rPr>
          <w:rFonts w:ascii="Times New Roman"/>
        </w:rPr>
        <w:t>功能重构类</w:t>
      </w:r>
      <w:bookmarkEnd w:id="166"/>
    </w:p>
    <w:p>
      <w:pPr>
        <w:pStyle w:val="60"/>
        <w:ind w:firstLine="420"/>
        <w:rPr>
          <w:rFonts w:ascii="Times New Roman"/>
        </w:rPr>
      </w:pPr>
      <w:r>
        <w:rPr>
          <w:rFonts w:ascii="Times New Roman"/>
        </w:rPr>
        <w:t>现有应用软件不能满足信创环境条件要求且无法进行适配改造，应对系统进行全面分析、重新设计与开发，以重建其体系结构、功能模块和技术架构。</w:t>
      </w:r>
    </w:p>
    <w:p>
      <w:pPr>
        <w:pStyle w:val="109"/>
        <w:spacing w:before="156" w:after="156"/>
        <w:rPr>
          <w:rFonts w:ascii="Times New Roman"/>
        </w:rPr>
      </w:pPr>
      <w:bookmarkStart w:id="167" w:name="_Toc185238811"/>
      <w:bookmarkStart w:id="168" w:name="_Toc17443"/>
      <w:r>
        <w:rPr>
          <w:rFonts w:ascii="Times New Roman"/>
        </w:rPr>
        <w:t>工作过程</w:t>
      </w:r>
      <w:bookmarkEnd w:id="167"/>
      <w:bookmarkEnd w:id="168"/>
    </w:p>
    <w:p>
      <w:pPr>
        <w:pStyle w:val="69"/>
        <w:spacing w:before="156" w:after="156"/>
        <w:rPr>
          <w:rFonts w:ascii="Times New Roman"/>
        </w:rPr>
      </w:pPr>
      <w:r>
        <w:rPr>
          <w:rFonts w:ascii="Times New Roman"/>
        </w:rPr>
        <w:t>需求</w:t>
      </w:r>
    </w:p>
    <w:p>
      <w:pPr>
        <w:pStyle w:val="60"/>
        <w:ind w:firstLine="420"/>
        <w:rPr>
          <w:rFonts w:ascii="Times New Roman"/>
        </w:rPr>
      </w:pPr>
      <w:r>
        <w:rPr>
          <w:rFonts w:ascii="Times New Roman"/>
        </w:rPr>
        <w:t>对应用软件适配改造项目的需求进行分析和评估，包括现有应用软件的功能需求、性能需求、数据需求、现有集成的其他应用软件或系统、拟适配的运行环境、拟达到的适配改造目标等内容。</w:t>
      </w:r>
    </w:p>
    <w:p>
      <w:pPr>
        <w:pStyle w:val="69"/>
        <w:spacing w:before="156" w:after="156"/>
        <w:rPr>
          <w:rFonts w:ascii="Times New Roman"/>
        </w:rPr>
      </w:pPr>
      <w:r>
        <w:rPr>
          <w:rFonts w:ascii="Times New Roman"/>
        </w:rPr>
        <w:t>设计</w:t>
      </w:r>
    </w:p>
    <w:p>
      <w:pPr>
        <w:pStyle w:val="60"/>
        <w:ind w:firstLine="420"/>
        <w:rPr>
          <w:rFonts w:ascii="Times New Roman"/>
        </w:rPr>
      </w:pPr>
      <w:r>
        <w:rPr>
          <w:rFonts w:ascii="Times New Roman"/>
        </w:rPr>
        <w:t>为满足应用软件在信创环境下运行的要求，对应用软件的体系结构、组件、模块及其接口进行规划与设计的工作内容。确定应用软件需要适配的具体国产操作系统、CPU架构或其他软硬件环境（如数据库、中间件等）</w:t>
      </w:r>
    </w:p>
    <w:p>
      <w:pPr>
        <w:pStyle w:val="69"/>
        <w:spacing w:before="156" w:after="156"/>
        <w:rPr>
          <w:rFonts w:ascii="Times New Roman"/>
        </w:rPr>
      </w:pPr>
      <w:r>
        <w:rPr>
          <w:rFonts w:ascii="Times New Roman"/>
        </w:rPr>
        <w:t>构建</w:t>
      </w:r>
    </w:p>
    <w:p>
      <w:pPr>
        <w:pStyle w:val="60"/>
        <w:ind w:firstLine="420"/>
        <w:rPr>
          <w:rFonts w:ascii="Times New Roman"/>
        </w:rPr>
      </w:pPr>
      <w:r>
        <w:rPr>
          <w:rFonts w:ascii="Times New Roman"/>
        </w:rPr>
        <w:t>针对应用软件，在信创环境（如国产硬件、操作系统、中间件、数据库等）下，通过修改代码、替换不兼容的技术组件和配置环境，使应用软件能够在信创环境中稳定运行并保持其功能完整性和性能要求。</w:t>
      </w:r>
    </w:p>
    <w:p>
      <w:pPr>
        <w:pStyle w:val="69"/>
        <w:spacing w:before="156" w:after="156"/>
        <w:rPr>
          <w:rFonts w:ascii="Times New Roman"/>
        </w:rPr>
      </w:pPr>
      <w:r>
        <w:rPr>
          <w:rFonts w:ascii="Times New Roman"/>
        </w:rPr>
        <w:t>测试</w:t>
      </w:r>
    </w:p>
    <w:p>
      <w:pPr>
        <w:pStyle w:val="60"/>
        <w:ind w:firstLine="420"/>
        <w:rPr>
          <w:rFonts w:ascii="Times New Roman"/>
        </w:rPr>
      </w:pPr>
      <w:r>
        <w:rPr>
          <w:rFonts w:ascii="Times New Roman"/>
        </w:rPr>
        <w:t>为确保应用软件在信创环境下正常运行而进行的测试工作，包括功能测试、性能测试、数据测试、安全测试等。</w:t>
      </w:r>
    </w:p>
    <w:p>
      <w:pPr>
        <w:pStyle w:val="69"/>
        <w:spacing w:before="156" w:after="156"/>
        <w:rPr>
          <w:rFonts w:ascii="Times New Roman"/>
        </w:rPr>
      </w:pPr>
      <w:r>
        <w:rPr>
          <w:rFonts w:ascii="Times New Roman"/>
        </w:rPr>
        <w:t>实施</w:t>
      </w:r>
    </w:p>
    <w:p>
      <w:pPr>
        <w:pStyle w:val="60"/>
        <w:ind w:firstLine="420"/>
        <w:rPr>
          <w:rFonts w:ascii="Times New Roman"/>
        </w:rPr>
      </w:pPr>
      <w:r>
        <w:rPr>
          <w:rFonts w:ascii="Times New Roman"/>
        </w:rPr>
        <w:t>基础设施环境搭建及应用部署工作，包括服务器端和终端的操作系统、浏览器、中间件、数据库、办公软件、应用软件等的安装、基本配置、安全加固（例如进行身份鉴别、访问控制、安全审计等方面的基线加固及所涉及的密码、安全策略、防护机制进行合规性改造）以及应用软件部署等工作，确保应用软件正常运行，并满足业务连续性要求。</w:t>
      </w:r>
      <w:bookmarkStart w:id="169" w:name="_Toc147824127"/>
      <w:bookmarkStart w:id="170" w:name="_Toc164340095"/>
    </w:p>
    <w:p>
      <w:pPr>
        <w:pStyle w:val="108"/>
        <w:spacing w:before="312" w:after="312"/>
        <w:rPr>
          <w:rFonts w:ascii="Times New Roman"/>
        </w:rPr>
      </w:pPr>
      <w:bookmarkStart w:id="171" w:name="_Toc185238783"/>
      <w:bookmarkStart w:id="172" w:name="_Toc185238812"/>
      <w:bookmarkStart w:id="173" w:name="_Toc6821"/>
      <w:r>
        <w:rPr>
          <w:rFonts w:ascii="Times New Roman"/>
        </w:rPr>
        <w:t>应用软件适配改造成本构成</w:t>
      </w:r>
      <w:bookmarkEnd w:id="169"/>
      <w:bookmarkEnd w:id="170"/>
      <w:bookmarkEnd w:id="171"/>
      <w:bookmarkEnd w:id="172"/>
      <w:bookmarkEnd w:id="173"/>
    </w:p>
    <w:p>
      <w:pPr>
        <w:pStyle w:val="109"/>
        <w:spacing w:before="156" w:after="156"/>
        <w:rPr>
          <w:rFonts w:ascii="Times New Roman"/>
        </w:rPr>
      </w:pPr>
      <w:bookmarkStart w:id="174" w:name="_Toc6159"/>
      <w:r>
        <w:rPr>
          <w:rFonts w:ascii="Times New Roman"/>
        </w:rPr>
        <w:t>概述</w:t>
      </w:r>
      <w:bookmarkEnd w:id="174"/>
    </w:p>
    <w:p>
      <w:pPr>
        <w:pStyle w:val="169"/>
      </w:pPr>
      <w:r>
        <w:t>应用软件适配改造成本包括建设过程中的所有人力成本和非人力成本之和，见图1。人力成本包括直接人力成本和间接人力成本，非人力成本包括直接非人力成本和间接非人力成本。</w:t>
      </w:r>
    </w:p>
    <w:p>
      <w:pPr>
        <w:pStyle w:val="178"/>
        <w:numPr>
          <w:ilvl w:val="0"/>
          <w:numId w:val="0"/>
        </w:numPr>
        <w:jc w:val="center"/>
        <w:rPr>
          <w:rFonts w:ascii="Times New Roman"/>
        </w:rPr>
      </w:pPr>
      <w:r>
        <w:rPr>
          <w:rFonts w:ascii="Times New Roman"/>
        </w:rPr>
        <w:drawing>
          <wp:inline distT="0" distB="0" distL="0" distR="0">
            <wp:extent cx="2552065" cy="1118235"/>
            <wp:effectExtent l="0" t="0" r="635" b="5715"/>
            <wp:docPr id="62280700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07005"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64234" cy="1123712"/>
                    </a:xfrm>
                    <a:prstGeom prst="rect">
                      <a:avLst/>
                    </a:prstGeom>
                    <a:noFill/>
                    <a:ln>
                      <a:noFill/>
                    </a:ln>
                  </pic:spPr>
                </pic:pic>
              </a:graphicData>
            </a:graphic>
          </wp:inline>
        </w:drawing>
      </w:r>
    </w:p>
    <w:p>
      <w:pPr>
        <w:pStyle w:val="118"/>
        <w:spacing w:before="156" w:after="156"/>
        <w:rPr>
          <w:rFonts w:ascii="Times New Roman"/>
          <w:szCs w:val="21"/>
        </w:rPr>
      </w:pPr>
      <w:r>
        <w:rPr>
          <w:rFonts w:ascii="Times New Roman"/>
        </w:rPr>
        <w:t>应用软件适配改造</w:t>
      </w:r>
      <w:r>
        <w:rPr>
          <w:rFonts w:ascii="Times New Roman"/>
          <w:szCs w:val="21"/>
        </w:rPr>
        <w:t>成本构成</w:t>
      </w:r>
    </w:p>
    <w:p>
      <w:pPr>
        <w:pStyle w:val="169"/>
      </w:pPr>
      <w:r>
        <w:t>本文件中所涉及的工作量为应用软件适配改造过程所涉及需求、设计、构建、测试和实施、项目管理等全工作过程的工作量。</w:t>
      </w:r>
    </w:p>
    <w:p>
      <w:pPr>
        <w:pStyle w:val="169"/>
      </w:pPr>
      <w:r>
        <w:t>在制定应用软件适配改造项目预算、报价或结算时</w:t>
      </w:r>
      <w:r>
        <w:rPr>
          <w:rFonts w:hint="eastAsia"/>
        </w:rPr>
        <w:t>，</w:t>
      </w:r>
      <w:r>
        <w:t>对需要提供其他支持服务的项目或产品，应核算支持活动所需的各种成本，如数据迁移费、维护费等。</w:t>
      </w:r>
    </w:p>
    <w:p>
      <w:pPr>
        <w:pStyle w:val="109"/>
        <w:spacing w:before="156" w:after="156"/>
        <w:rPr>
          <w:rFonts w:ascii="Times New Roman"/>
        </w:rPr>
      </w:pPr>
      <w:bookmarkStart w:id="175" w:name="_Toc3760"/>
      <w:r>
        <w:rPr>
          <w:rFonts w:ascii="Times New Roman"/>
        </w:rPr>
        <w:t>直接人力成本</w:t>
      </w:r>
      <w:bookmarkEnd w:id="175"/>
    </w:p>
    <w:p>
      <w:pPr>
        <w:pStyle w:val="60"/>
        <w:ind w:firstLine="420"/>
        <w:rPr>
          <w:rFonts w:ascii="Times New Roman"/>
        </w:rPr>
      </w:pPr>
      <w:r>
        <w:rPr>
          <w:rFonts w:ascii="Times New Roman"/>
        </w:rPr>
        <w:t>适配改造方项目组成员的工资、奖金、福利等人力资源费用。</w:t>
      </w:r>
    </w:p>
    <w:p>
      <w:pPr>
        <w:pStyle w:val="60"/>
        <w:ind w:firstLine="420"/>
        <w:rPr>
          <w:rFonts w:ascii="Times New Roman"/>
        </w:rPr>
      </w:pPr>
      <w:r>
        <w:rPr>
          <w:rFonts w:ascii="Times New Roman"/>
        </w:rPr>
        <w:t>其中，项目成员包括直接参与该项目适配改造过程的所有研发或支持人员，如项目经理、需求分析人员、设计人员、开发人员、测试人员、部署人员、用户文档编写人员、质量保证人员、配置管理人员等。对于非全职投入该项目适配改造工作的人员，按照项目工作量所占其总工作量比例折算其人力资源费用。</w:t>
      </w:r>
    </w:p>
    <w:p>
      <w:pPr>
        <w:pStyle w:val="109"/>
        <w:spacing w:before="156" w:after="156"/>
        <w:rPr>
          <w:rFonts w:ascii="Times New Roman"/>
        </w:rPr>
      </w:pPr>
      <w:bookmarkStart w:id="176" w:name="_Toc18724"/>
      <w:r>
        <w:rPr>
          <w:rFonts w:ascii="Times New Roman"/>
        </w:rPr>
        <w:t>间接人力成本</w:t>
      </w:r>
      <w:bookmarkEnd w:id="176"/>
    </w:p>
    <w:p>
      <w:pPr>
        <w:pStyle w:val="60"/>
        <w:ind w:firstLine="420"/>
        <w:rPr>
          <w:rFonts w:ascii="Times New Roman"/>
        </w:rPr>
      </w:pPr>
      <w:r>
        <w:rPr>
          <w:rFonts w:ascii="Times New Roman"/>
        </w:rPr>
        <w:t>适配改造方的服务于适配改造管理整体需求的非项目组人员的人力资源费用分摊。</w:t>
      </w:r>
    </w:p>
    <w:p>
      <w:pPr>
        <w:pStyle w:val="60"/>
        <w:ind w:firstLine="420"/>
        <w:rPr>
          <w:rFonts w:ascii="Times New Roman"/>
        </w:rPr>
      </w:pPr>
      <w:r>
        <w:rPr>
          <w:rFonts w:ascii="Times New Roman"/>
        </w:rPr>
        <w:t>包括研发部门经理、项目管理办公室（PMO）人员、工程过程组（EPG）人员、产品规划人员、组织级质量保证人员、组织级配置管理人员、商务采购人员、IT支持人员等的工资、奖金、福利等的分摊。</w:t>
      </w:r>
    </w:p>
    <w:p>
      <w:pPr>
        <w:pStyle w:val="109"/>
        <w:spacing w:before="156" w:after="156"/>
        <w:rPr>
          <w:rFonts w:ascii="Times New Roman"/>
        </w:rPr>
      </w:pPr>
      <w:bookmarkStart w:id="177" w:name="_Toc15861"/>
      <w:r>
        <w:rPr>
          <w:rFonts w:ascii="Times New Roman"/>
        </w:rPr>
        <w:t>直接非人力成本</w:t>
      </w:r>
      <w:bookmarkEnd w:id="177"/>
    </w:p>
    <w:p>
      <w:pPr>
        <w:pStyle w:val="69"/>
        <w:spacing w:before="156" w:after="156"/>
        <w:rPr>
          <w:rFonts w:ascii="Times New Roman"/>
        </w:rPr>
      </w:pPr>
      <w:r>
        <w:rPr>
          <w:rFonts w:ascii="Times New Roman"/>
        </w:rPr>
        <w:t>办公费</w:t>
      </w:r>
    </w:p>
    <w:p>
      <w:pPr>
        <w:pStyle w:val="60"/>
        <w:ind w:firstLine="420"/>
        <w:rPr>
          <w:rFonts w:ascii="Times New Roman"/>
        </w:rPr>
      </w:pPr>
      <w:r>
        <w:rPr>
          <w:rFonts w:ascii="Times New Roman"/>
        </w:rPr>
        <w:t>适配改造方为适配改造项目而产生的行政办公费用，如办公用品、通讯、邮寄、印刷、会议等；差旅费，即适配改造方为适配改造此项目而产生的差旅费用，如交通、住宿、差旅补贴等</w:t>
      </w:r>
      <w:r>
        <w:rPr>
          <w:rFonts w:hint="eastAsia" w:ascii="Times New Roman"/>
        </w:rPr>
        <w:t>。</w:t>
      </w:r>
    </w:p>
    <w:p>
      <w:pPr>
        <w:pStyle w:val="69"/>
        <w:spacing w:before="156" w:after="156"/>
        <w:rPr>
          <w:rFonts w:ascii="Times New Roman"/>
        </w:rPr>
      </w:pPr>
      <w:r>
        <w:rPr>
          <w:rFonts w:ascii="Times New Roman"/>
        </w:rPr>
        <w:t>培训费</w:t>
      </w:r>
    </w:p>
    <w:p>
      <w:pPr>
        <w:pStyle w:val="60"/>
        <w:ind w:firstLine="420"/>
        <w:rPr>
          <w:rFonts w:ascii="Times New Roman"/>
        </w:rPr>
      </w:pPr>
      <w:r>
        <w:rPr>
          <w:rFonts w:ascii="Times New Roman"/>
        </w:rPr>
        <w:t>适配改造方为适配改造项目而安排的培训产生的费用</w:t>
      </w:r>
      <w:r>
        <w:rPr>
          <w:rFonts w:hint="eastAsia" w:ascii="Times New Roman"/>
        </w:rPr>
        <w:t>。</w:t>
      </w:r>
    </w:p>
    <w:p>
      <w:pPr>
        <w:pStyle w:val="69"/>
        <w:spacing w:before="156" w:after="156"/>
        <w:rPr>
          <w:rFonts w:ascii="Times New Roman"/>
        </w:rPr>
      </w:pPr>
      <w:r>
        <w:rPr>
          <w:rFonts w:ascii="Times New Roman"/>
        </w:rPr>
        <w:t>业务费</w:t>
      </w:r>
    </w:p>
    <w:p>
      <w:pPr>
        <w:pStyle w:val="60"/>
        <w:ind w:firstLine="420"/>
        <w:rPr>
          <w:rFonts w:ascii="Times New Roman"/>
        </w:rPr>
      </w:pPr>
      <w:r>
        <w:rPr>
          <w:rFonts w:ascii="Times New Roman"/>
        </w:rPr>
        <w:t>适配改造方为完成适配改造工作所需辅助活动产生的费用，如评审费、验收费等</w:t>
      </w:r>
      <w:r>
        <w:rPr>
          <w:rFonts w:hint="eastAsia" w:ascii="Times New Roman"/>
        </w:rPr>
        <w:t>。</w:t>
      </w:r>
    </w:p>
    <w:p>
      <w:pPr>
        <w:pStyle w:val="69"/>
        <w:spacing w:before="156" w:after="156"/>
        <w:rPr>
          <w:rFonts w:ascii="Times New Roman"/>
        </w:rPr>
      </w:pPr>
      <w:r>
        <w:rPr>
          <w:rFonts w:ascii="Times New Roman"/>
        </w:rPr>
        <w:t>采购费</w:t>
      </w:r>
    </w:p>
    <w:p>
      <w:pPr>
        <w:pStyle w:val="60"/>
        <w:ind w:firstLine="420"/>
        <w:rPr>
          <w:rFonts w:ascii="Times New Roman"/>
        </w:rPr>
      </w:pPr>
      <w:r>
        <w:rPr>
          <w:rFonts w:ascii="Times New Roman"/>
        </w:rPr>
        <w:t>适配改造方为适配改造项目而需特殊采购专用资产或服务的费用，如专用设备费、专用软件费、技术协作费、专利费等</w:t>
      </w:r>
      <w:r>
        <w:rPr>
          <w:rFonts w:hint="eastAsia" w:ascii="Times New Roman"/>
        </w:rPr>
        <w:t>。</w:t>
      </w:r>
    </w:p>
    <w:p>
      <w:pPr>
        <w:pStyle w:val="69"/>
        <w:spacing w:before="156" w:after="156"/>
        <w:rPr>
          <w:rFonts w:ascii="Times New Roman"/>
        </w:rPr>
      </w:pPr>
      <w:r>
        <w:rPr>
          <w:rFonts w:ascii="Times New Roman"/>
        </w:rPr>
        <w:t>认证费</w:t>
      </w:r>
    </w:p>
    <w:p>
      <w:pPr>
        <w:pStyle w:val="60"/>
        <w:ind w:firstLine="420"/>
        <w:rPr>
          <w:rFonts w:ascii="Times New Roman"/>
        </w:rPr>
      </w:pPr>
      <w:r>
        <w:rPr>
          <w:rFonts w:ascii="Times New Roman"/>
        </w:rPr>
        <w:t>为了确保应用软件在信创环境下的合规性和质量需要进行的信创认证费用。</w:t>
      </w:r>
    </w:p>
    <w:p>
      <w:pPr>
        <w:pStyle w:val="69"/>
        <w:spacing w:before="156" w:after="156"/>
        <w:rPr>
          <w:rFonts w:ascii="Times New Roman"/>
        </w:rPr>
      </w:pPr>
      <w:r>
        <w:rPr>
          <w:rFonts w:ascii="Times New Roman"/>
        </w:rPr>
        <w:t>其他</w:t>
      </w:r>
    </w:p>
    <w:p>
      <w:pPr>
        <w:pStyle w:val="60"/>
        <w:ind w:firstLine="420"/>
        <w:rPr>
          <w:rFonts w:ascii="Times New Roman"/>
        </w:rPr>
      </w:pPr>
      <w:r>
        <w:rPr>
          <w:rFonts w:ascii="Times New Roman"/>
        </w:rPr>
        <w:t>未在6.4.1～6.4.5列出但却是适配改造方为适配改造项目所需花费的费用。</w:t>
      </w:r>
    </w:p>
    <w:p>
      <w:pPr>
        <w:pStyle w:val="109"/>
        <w:spacing w:before="156" w:after="156"/>
        <w:rPr>
          <w:rFonts w:ascii="Times New Roman"/>
        </w:rPr>
      </w:pPr>
      <w:bookmarkStart w:id="178" w:name="_Toc13671"/>
      <w:r>
        <w:rPr>
          <w:rFonts w:ascii="Times New Roman"/>
        </w:rPr>
        <w:t>间接非人力成本</w:t>
      </w:r>
      <w:bookmarkEnd w:id="178"/>
    </w:p>
    <w:p>
      <w:pPr>
        <w:pStyle w:val="60"/>
        <w:ind w:firstLine="420"/>
        <w:rPr>
          <w:rFonts w:ascii="Times New Roman"/>
        </w:rPr>
      </w:pPr>
      <w:r>
        <w:rPr>
          <w:rFonts w:ascii="Times New Roman"/>
        </w:rPr>
        <w:t>间接非人力成本指适配改造方不为开发某个特定项目而产生，但服务于整体适配改造活动的非人力成本分摊。包括适配改造方适配改造场地房租、水电、物业，适配改造人员日常办公费用分摊；战略、市场宣传推广、品牌建设、知识产权专利等费用分摊，以及各种适配改造办公设备的租赁、维修、折旧分摊等。</w:t>
      </w:r>
    </w:p>
    <w:p>
      <w:pPr>
        <w:pStyle w:val="108"/>
        <w:spacing w:before="312" w:after="312"/>
        <w:rPr>
          <w:rFonts w:ascii="Times New Roman"/>
        </w:rPr>
      </w:pPr>
      <w:bookmarkStart w:id="179" w:name="_Toc17934"/>
      <w:bookmarkStart w:id="180" w:name="_Toc185238813"/>
      <w:bookmarkStart w:id="181" w:name="_Toc147824128"/>
      <w:bookmarkStart w:id="182" w:name="_Toc164340096"/>
      <w:bookmarkStart w:id="183" w:name="_Toc185238784"/>
      <w:r>
        <w:rPr>
          <w:rFonts w:ascii="Times New Roman"/>
        </w:rPr>
        <w:t>应用软件适配改造成本度量</w:t>
      </w:r>
      <w:bookmarkEnd w:id="179"/>
      <w:bookmarkEnd w:id="180"/>
      <w:bookmarkEnd w:id="181"/>
      <w:bookmarkEnd w:id="182"/>
      <w:bookmarkEnd w:id="183"/>
    </w:p>
    <w:p>
      <w:pPr>
        <w:pStyle w:val="109"/>
        <w:spacing w:before="156" w:after="156"/>
        <w:rPr>
          <w:rFonts w:ascii="Times New Roman"/>
        </w:rPr>
      </w:pPr>
      <w:bookmarkStart w:id="184" w:name="_Toc1298"/>
      <w:r>
        <w:rPr>
          <w:rFonts w:ascii="Times New Roman"/>
        </w:rPr>
        <w:t>估算</w:t>
      </w:r>
      <w:bookmarkEnd w:id="184"/>
    </w:p>
    <w:p>
      <w:pPr>
        <w:pStyle w:val="69"/>
        <w:spacing w:before="156" w:after="156"/>
        <w:rPr>
          <w:rFonts w:ascii="Times New Roman"/>
        </w:rPr>
      </w:pPr>
      <w:bookmarkStart w:id="185" w:name="_Toc147926314"/>
      <w:bookmarkStart w:id="186" w:name="_Toc147824129"/>
      <w:bookmarkStart w:id="187" w:name="_Toc164340097"/>
      <w:bookmarkStart w:id="188" w:name="_Toc185238814"/>
      <w:r>
        <w:rPr>
          <w:rFonts w:ascii="Times New Roman"/>
        </w:rPr>
        <w:t>估算</w:t>
      </w:r>
      <w:bookmarkEnd w:id="185"/>
      <w:bookmarkEnd w:id="186"/>
      <w:r>
        <w:rPr>
          <w:rFonts w:ascii="Times New Roman"/>
        </w:rPr>
        <w:t>流程</w:t>
      </w:r>
      <w:bookmarkEnd w:id="187"/>
      <w:bookmarkEnd w:id="188"/>
    </w:p>
    <w:p>
      <w:pPr>
        <w:pStyle w:val="60"/>
        <w:ind w:firstLine="420"/>
        <w:rPr>
          <w:rFonts w:ascii="Times New Roman"/>
        </w:rPr>
      </w:pPr>
      <w:r>
        <w:rPr>
          <w:rFonts w:ascii="Times New Roman"/>
        </w:rPr>
        <w:t xml:space="preserve">按照应用软件适配改造的成本构成，其中，直接人力成本是根据工作量估算结果计算得出，直接非人力成本的估算可根据项目实际需求逐项据实估算；间接人力成本和间接非人力成本可按直接人力成本评估费用比例估算，或根据项目实际情况逐项据实估算。  </w:t>
      </w:r>
    </w:p>
    <w:p>
      <w:pPr>
        <w:pStyle w:val="60"/>
        <w:ind w:firstLine="420"/>
        <w:rPr>
          <w:rFonts w:ascii="Times New Roman"/>
        </w:rPr>
      </w:pPr>
      <w:r>
        <w:rPr>
          <w:rFonts w:ascii="Times New Roman"/>
        </w:rPr>
        <w:t>成本估算基本流程如图2所示。</w:t>
      </w:r>
    </w:p>
    <w:p>
      <w:pPr>
        <w:pStyle w:val="60"/>
        <w:ind w:firstLine="420"/>
        <w:rPr>
          <w:rFonts w:ascii="Times New Roman"/>
        </w:rPr>
      </w:pPr>
      <w:r>
        <w:rPr>
          <w:rFonts w:ascii="Times New Roman"/>
        </w:rPr>
        <mc:AlternateContent>
          <mc:Choice Requires="wpg">
            <w:drawing>
              <wp:anchor distT="0" distB="0" distL="114300" distR="114300" simplePos="0" relativeHeight="251663360" behindDoc="0" locked="0" layoutInCell="1" allowOverlap="1">
                <wp:simplePos x="0" y="0"/>
                <wp:positionH relativeFrom="column">
                  <wp:posOffset>182245</wp:posOffset>
                </wp:positionH>
                <wp:positionV relativeFrom="paragraph">
                  <wp:posOffset>154940</wp:posOffset>
                </wp:positionV>
                <wp:extent cx="5633085" cy="1723390"/>
                <wp:effectExtent l="0" t="0" r="24765" b="10160"/>
                <wp:wrapNone/>
                <wp:docPr id="2" name="组合 29"/>
                <wp:cNvGraphicFramePr/>
                <a:graphic xmlns:a="http://schemas.openxmlformats.org/drawingml/2006/main">
                  <a:graphicData uri="http://schemas.microsoft.com/office/word/2010/wordprocessingGroup">
                    <wpg:wgp>
                      <wpg:cNvGrpSpPr/>
                      <wpg:grpSpPr>
                        <a:xfrm>
                          <a:off x="0" y="0"/>
                          <a:ext cx="5633085" cy="1723390"/>
                          <a:chOff x="0" y="0"/>
                          <a:chExt cx="6624390" cy="1756426"/>
                        </a:xfrm>
                      </wpg:grpSpPr>
                      <wps:wsp>
                        <wps:cNvPr id="4" name="矩形 4"/>
                        <wps:cNvSpPr>
                          <a:spLocks noChangeArrowheads="1"/>
                        </wps:cNvSpPr>
                        <wps:spPr bwMode="auto">
                          <a:xfrm>
                            <a:off x="864096" y="393923"/>
                            <a:ext cx="1236235" cy="1362502"/>
                          </a:xfrm>
                          <a:prstGeom prst="rect">
                            <a:avLst/>
                          </a:prstGeom>
                          <a:solidFill>
                            <a:srgbClr val="FFFFFF"/>
                          </a:solidFill>
                          <a:ln w="9525" algn="ctr">
                            <a:solidFill>
                              <a:srgbClr val="000000"/>
                            </a:solidFill>
                            <a:prstDash val="dash"/>
                            <a:miter lim="800000"/>
                          </a:ln>
                          <a:effectLst/>
                        </wps:spPr>
                        <wps:bodyPr rot="0" vert="horz" wrap="square" lIns="91440" tIns="45720" rIns="91440" bIns="45720" anchor="t" anchorCtr="0" upright="1">
                          <a:noAutofit/>
                        </wps:bodyPr>
                      </wps:wsp>
                      <wps:wsp>
                        <wps:cNvPr id="6" name="矩形 6"/>
                        <wps:cNvSpPr>
                          <a:spLocks noChangeArrowheads="1"/>
                        </wps:cNvSpPr>
                        <wps:spPr bwMode="auto">
                          <a:xfrm>
                            <a:off x="2181406" y="388274"/>
                            <a:ext cx="1287781" cy="1368152"/>
                          </a:xfrm>
                          <a:prstGeom prst="rect">
                            <a:avLst/>
                          </a:prstGeom>
                          <a:solidFill>
                            <a:srgbClr val="FFFFFF"/>
                          </a:solidFill>
                          <a:ln w="9525" algn="ctr">
                            <a:solidFill>
                              <a:srgbClr val="000000"/>
                            </a:solidFill>
                            <a:prstDash val="dash"/>
                            <a:miter lim="800000"/>
                          </a:ln>
                          <a:effectLst/>
                        </wps:spPr>
                        <wps:bodyPr rot="0" vert="horz" wrap="square" lIns="91440" tIns="45720" rIns="91440" bIns="45720" anchor="t" anchorCtr="0" upright="1">
                          <a:noAutofit/>
                        </wps:bodyPr>
                      </wps:wsp>
                      <wps:wsp>
                        <wps:cNvPr id="7" name="文本框 12"/>
                        <wps:cNvSpPr txBox="1">
                          <a:spLocks noChangeAspect="1" noChangeArrowheads="1"/>
                        </wps:cNvSpPr>
                        <wps:spPr bwMode="auto">
                          <a:xfrm>
                            <a:off x="5502598" y="504051"/>
                            <a:ext cx="1121792" cy="509864"/>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确定应用软件适配改造成本</w:t>
                              </w:r>
                            </w:p>
                          </w:txbxContent>
                        </wps:txbx>
                        <wps:bodyPr vert="horz" wrap="square" lIns="91440" tIns="45720" rIns="91440" bIns="45720" numCol="1" anchor="t" anchorCtr="0" compatLnSpc="1"/>
                      </wps:wsp>
                      <wps:wsp>
                        <wps:cNvPr id="8" name="文本框 11"/>
                        <wps:cNvSpPr txBox="1">
                          <a:spLocks noChangeArrowheads="1"/>
                        </wps:cNvSpPr>
                        <wps:spPr bwMode="auto">
                          <a:xfrm>
                            <a:off x="3619650" y="1142455"/>
                            <a:ext cx="1298092" cy="277813"/>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间接非人力成本估算</w:t>
                              </w:r>
                            </w:p>
                          </w:txbxContent>
                        </wps:txbx>
                        <wps:bodyPr vert="horz" wrap="square" lIns="91440" tIns="45720" rIns="91440" bIns="45720" numCol="1" anchor="t" anchorCtr="0" compatLnSpc="1"/>
                      </wps:wsp>
                      <wps:wsp>
                        <wps:cNvPr id="9" name="直接箭头连接符 9"/>
                        <wps:cNvCnPr>
                          <a:cxnSpLocks noChangeShapeType="1"/>
                        </wps:cNvCnPr>
                        <wps:spPr bwMode="auto">
                          <a:xfrm>
                            <a:off x="3276508" y="124975"/>
                            <a:ext cx="306705" cy="0"/>
                          </a:xfrm>
                          <a:prstGeom prst="straightConnector1">
                            <a:avLst/>
                          </a:prstGeom>
                          <a:noFill/>
                          <a:ln w="9525">
                            <a:solidFill>
                              <a:srgbClr val="000000"/>
                            </a:solidFill>
                            <a:round/>
                            <a:tailEnd type="triangle" w="med" len="med"/>
                          </a:ln>
                        </wps:spPr>
                        <wps:bodyPr/>
                      </wps:wsp>
                      <wps:wsp>
                        <wps:cNvPr id="10" name="文本框 5"/>
                        <wps:cNvSpPr txBox="1">
                          <a:spLocks noChangeAspect="1" noChangeArrowheads="1"/>
                        </wps:cNvSpPr>
                        <wps:spPr bwMode="auto">
                          <a:xfrm>
                            <a:off x="1109023" y="0"/>
                            <a:ext cx="885825" cy="279400"/>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软件规模估算</w:t>
                              </w:r>
                            </w:p>
                          </w:txbxContent>
                        </wps:txbx>
                        <wps:bodyPr vert="horz" wrap="square" lIns="91440" tIns="45720" rIns="91440" bIns="45720" numCol="1" anchor="ctr" anchorCtr="0" compatLnSpc="1"/>
                      </wps:wsp>
                      <wpg:grpSp>
                        <wpg:cNvPr id="11" name="组合 11"/>
                        <wpg:cNvGrpSpPr/>
                        <wpg:grpSpPr>
                          <a:xfrm>
                            <a:off x="2233843" y="488986"/>
                            <a:ext cx="1128395" cy="1121410"/>
                            <a:chOff x="2214823" y="488986"/>
                            <a:chExt cx="1777" cy="1766"/>
                          </a:xfrm>
                        </wpg:grpSpPr>
                        <wps:wsp>
                          <wps:cNvPr id="12" name="Text Box 60"/>
                          <wps:cNvSpPr txBox="1">
                            <a:spLocks noChangeArrowheads="1"/>
                          </wps:cNvSpPr>
                          <wps:spPr bwMode="auto">
                            <a:xfrm>
                              <a:off x="2214843" y="488986"/>
                              <a:ext cx="1757" cy="439"/>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方程法估算工作量</w:t>
                                </w:r>
                              </w:p>
                            </w:txbxContent>
                          </wps:txbx>
                          <wps:bodyPr rot="0" vert="horz" wrap="square" lIns="91440" tIns="45720" rIns="91440" bIns="45720" anchor="t" anchorCtr="0" upright="1">
                            <a:noAutofit/>
                          </wps:bodyPr>
                        </wps:wsp>
                        <wps:wsp>
                          <wps:cNvPr id="13" name="Text Box 61"/>
                          <wps:cNvSpPr txBox="1">
                            <a:spLocks noChangeArrowheads="1"/>
                          </wps:cNvSpPr>
                          <wps:spPr bwMode="auto">
                            <a:xfrm>
                              <a:off x="2214823" y="490313"/>
                              <a:ext cx="1757" cy="439"/>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类推法估算工作量</w:t>
                                </w:r>
                              </w:p>
                            </w:txbxContent>
                          </wps:txbx>
                          <wps:bodyPr rot="0" vert="horz" wrap="square" lIns="91440" tIns="45720" rIns="91440" bIns="45720" anchor="t" anchorCtr="0" upright="1">
                            <a:noAutofit/>
                          </wps:bodyPr>
                        </wps:wsp>
                        <wps:wsp>
                          <wps:cNvPr id="14" name="Text Box 62"/>
                          <wps:cNvSpPr txBox="1">
                            <a:spLocks noChangeArrowheads="1"/>
                          </wps:cNvSpPr>
                          <wps:spPr bwMode="auto">
                            <a:xfrm>
                              <a:off x="2214823" y="489683"/>
                              <a:ext cx="1757" cy="439"/>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类比法估算工作量</w:t>
                                </w:r>
                              </w:p>
                            </w:txbxContent>
                          </wps:txbx>
                          <wps:bodyPr rot="0" vert="horz" wrap="square" lIns="91440" tIns="45720" rIns="91440" bIns="45720" anchor="t" anchorCtr="0" upright="1">
                            <a:noAutofit/>
                          </wps:bodyPr>
                        </wps:wsp>
                      </wpg:grpSp>
                      <wps:wsp>
                        <wps:cNvPr id="15" name="直接箭头连接符 15"/>
                        <wps:cNvCnPr>
                          <a:cxnSpLocks noChangeShapeType="1"/>
                        </wps:cNvCnPr>
                        <wps:spPr bwMode="auto">
                          <a:xfrm>
                            <a:off x="1996800" y="133364"/>
                            <a:ext cx="291465" cy="0"/>
                          </a:xfrm>
                          <a:prstGeom prst="straightConnector1">
                            <a:avLst/>
                          </a:prstGeom>
                          <a:noFill/>
                          <a:ln w="9525">
                            <a:solidFill>
                              <a:srgbClr val="000000"/>
                            </a:solidFill>
                            <a:round/>
                            <a:tailEnd type="triangle" w="med" len="med"/>
                          </a:ln>
                        </wps:spPr>
                        <wps:bodyPr/>
                      </wps:wsp>
                      <wps:wsp>
                        <wps:cNvPr id="16" name="文本框 7"/>
                        <wps:cNvSpPr txBox="1">
                          <a:spLocks noChangeAspect="1" noChangeArrowheads="1"/>
                        </wps:cNvSpPr>
                        <wps:spPr bwMode="auto">
                          <a:xfrm>
                            <a:off x="2291771" y="0"/>
                            <a:ext cx="1000125" cy="279400"/>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sz w:val="13"/>
                                  <w:szCs w:val="13"/>
                                </w:rPr>
                              </w:pPr>
                              <w:r>
                                <w:rPr>
                                  <w:rFonts w:hint="eastAsia" w:cstheme="minorBidi"/>
                                  <w:color w:val="000000" w:themeColor="text1"/>
                                  <w:kern w:val="24"/>
                                  <w:sz w:val="13"/>
                                  <w:szCs w:val="13"/>
                                  <w14:textFill>
                                    <w14:solidFill>
                                      <w14:schemeClr w14:val="tx1"/>
                                    </w14:solidFill>
                                  </w14:textFill>
                                </w:rPr>
                                <w:t>工作量估算</w:t>
                              </w:r>
                            </w:p>
                          </w:txbxContent>
                        </wps:txbx>
                        <wps:bodyPr rot="0" vert="horz" wrap="square" lIns="91440" tIns="45720" rIns="91440" bIns="45720" numCol="1" anchor="t" anchorCtr="0" upright="1" compatLnSpc="1">
                          <a:noAutofit/>
                        </wps:bodyPr>
                      </wps:wsp>
                      <wps:wsp>
                        <wps:cNvPr id="17" name="文本框 8"/>
                        <wps:cNvSpPr txBox="1">
                          <a:spLocks noChangeAspect="1" noChangeArrowheads="1"/>
                        </wps:cNvSpPr>
                        <wps:spPr bwMode="auto">
                          <a:xfrm>
                            <a:off x="3601495" y="0"/>
                            <a:ext cx="1295049" cy="279400"/>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sz w:val="13"/>
                                  <w:szCs w:val="13"/>
                                </w:rPr>
                              </w:pPr>
                              <w:r>
                                <w:rPr>
                                  <w:rFonts w:hint="eastAsia" w:cstheme="minorBidi"/>
                                  <w:color w:val="000000" w:themeColor="text1"/>
                                  <w:kern w:val="24"/>
                                  <w:sz w:val="13"/>
                                  <w:szCs w:val="13"/>
                                  <w14:textFill>
                                    <w14:solidFill>
                                      <w14:schemeClr w14:val="tx1"/>
                                    </w14:solidFill>
                                  </w14:textFill>
                                </w:rPr>
                                <w:t>直接人力成本估算</w:t>
                              </w:r>
                            </w:p>
                          </w:txbxContent>
                        </wps:txbx>
                        <wps:bodyPr vert="horz" wrap="square" lIns="91440" tIns="45720" rIns="91440" bIns="45720" numCol="1" anchor="ctr" anchorCtr="0" compatLnSpc="1"/>
                      </wps:wsp>
                      <wps:wsp>
                        <wps:cNvPr id="18" name="直接箭头连接符 18"/>
                        <wps:cNvCnPr>
                          <a:cxnSpLocks noChangeShapeType="1"/>
                        </wps:cNvCnPr>
                        <wps:spPr bwMode="auto">
                          <a:xfrm>
                            <a:off x="5184576" y="679351"/>
                            <a:ext cx="306705" cy="0"/>
                          </a:xfrm>
                          <a:prstGeom prst="straightConnector1">
                            <a:avLst/>
                          </a:prstGeom>
                          <a:noFill/>
                          <a:ln w="9525">
                            <a:solidFill>
                              <a:srgbClr val="000000"/>
                            </a:solidFill>
                            <a:round/>
                            <a:tailEnd type="triangle" w="med" len="med"/>
                          </a:ln>
                        </wps:spPr>
                        <wps:bodyPr/>
                      </wps:wsp>
                      <wps:wsp>
                        <wps:cNvPr id="19" name="文本框 18"/>
                        <wps:cNvSpPr txBox="1">
                          <a:spLocks noChangeAspect="1" noChangeArrowheads="1"/>
                        </wps:cNvSpPr>
                        <wps:spPr bwMode="auto">
                          <a:xfrm>
                            <a:off x="0" y="0"/>
                            <a:ext cx="885825" cy="279400"/>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工作内容分解</w:t>
                              </w:r>
                            </w:p>
                          </w:txbxContent>
                        </wps:txbx>
                        <wps:bodyPr vert="horz" wrap="square" lIns="91440" tIns="45720" rIns="91440" bIns="45720" numCol="1" anchor="ctr" anchorCtr="0" compatLnSpc="1"/>
                      </wps:wsp>
                      <wps:wsp>
                        <wps:cNvPr id="20" name="直接箭头连接符 20"/>
                        <wps:cNvCnPr>
                          <a:cxnSpLocks noChangeShapeType="1"/>
                        </wps:cNvCnPr>
                        <wps:spPr bwMode="auto">
                          <a:xfrm>
                            <a:off x="885825" y="141675"/>
                            <a:ext cx="228600" cy="0"/>
                          </a:xfrm>
                          <a:prstGeom prst="straightConnector1">
                            <a:avLst/>
                          </a:prstGeom>
                          <a:noFill/>
                          <a:ln w="9525">
                            <a:solidFill>
                              <a:srgbClr val="000000"/>
                            </a:solidFill>
                            <a:round/>
                            <a:tailEnd type="triangle" w="med" len="med"/>
                          </a:ln>
                        </wps:spPr>
                        <wps:bodyPr/>
                      </wps:wsp>
                      <wps:wsp>
                        <wps:cNvPr id="21" name="Text Box 39"/>
                        <wps:cNvSpPr txBox="1">
                          <a:spLocks noChangeAspect="1" noChangeArrowheads="1"/>
                        </wps:cNvSpPr>
                        <wps:spPr bwMode="auto">
                          <a:xfrm>
                            <a:off x="3622693" y="772196"/>
                            <a:ext cx="1295049" cy="277495"/>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间接人力成本估算</w:t>
                              </w:r>
                            </w:p>
                          </w:txbxContent>
                        </wps:txbx>
                        <wps:bodyPr rot="0" vert="horz" wrap="square" lIns="91440" tIns="45720" rIns="91440" bIns="45720" anchor="t" anchorCtr="0" upright="1">
                          <a:noAutofit/>
                        </wps:bodyPr>
                      </wps:wsp>
                      <wps:wsp>
                        <wps:cNvPr id="22" name="Text Box 40"/>
                        <wps:cNvSpPr txBox="1">
                          <a:spLocks noChangeAspect="1" noChangeArrowheads="1"/>
                        </wps:cNvSpPr>
                        <wps:spPr bwMode="auto">
                          <a:xfrm>
                            <a:off x="3622693" y="388049"/>
                            <a:ext cx="1295049" cy="277495"/>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直接非人力成本</w:t>
                              </w:r>
                              <w:r>
                                <w:rPr>
                                  <w:rFonts w:hint="eastAsia" w:ascii="Times New Roman" w:hAnsi="等线" w:eastAsiaTheme="minorEastAsia" w:cstheme="minorBidi"/>
                                  <w:color w:val="000000" w:themeColor="text1"/>
                                  <w:kern w:val="2"/>
                                  <w:sz w:val="13"/>
                                  <w:szCs w:val="13"/>
                                  <w14:textFill>
                                    <w14:solidFill>
                                      <w14:schemeClr w14:val="tx1"/>
                                    </w14:solidFill>
                                  </w14:textFill>
                                </w:rPr>
                                <w:t>估算</w:t>
                              </w:r>
                            </w:p>
                          </w:txbxContent>
                        </wps:txbx>
                        <wps:bodyPr rot="0" vert="horz" wrap="square" lIns="91440" tIns="45720" rIns="91440" bIns="45720" anchor="t" anchorCtr="0" upright="1">
                          <a:noAutofit/>
                        </wps:bodyPr>
                      </wps:wsp>
                      <wpg:grpSp>
                        <wpg:cNvPr id="23" name="组合 23"/>
                        <wpg:cNvGrpSpPr/>
                        <wpg:grpSpPr>
                          <a:xfrm>
                            <a:off x="1045483" y="518446"/>
                            <a:ext cx="958423" cy="1059491"/>
                            <a:chOff x="1045483" y="488963"/>
                            <a:chExt cx="1757" cy="1466"/>
                          </a:xfrm>
                        </wpg:grpSpPr>
                        <wps:wsp>
                          <wps:cNvPr id="24" name="Text Box 60"/>
                          <wps:cNvSpPr txBox="1">
                            <a:spLocks noChangeArrowheads="1"/>
                          </wps:cNvSpPr>
                          <wps:spPr bwMode="auto">
                            <a:xfrm>
                              <a:off x="1045483" y="488963"/>
                              <a:ext cx="1757" cy="612"/>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ascii="Times New Roman" w:cstheme="minorBidi"/>
                                    <w:color w:val="000000" w:themeColor="text1"/>
                                    <w:kern w:val="2"/>
                                    <w:sz w:val="13"/>
                                    <w:szCs w:val="13"/>
                                    <w14:textFill>
                                      <w14:solidFill>
                                        <w14:schemeClr w14:val="tx1"/>
                                      </w14:solidFill>
                                    </w14:textFill>
                                  </w:rPr>
                                </w:pPr>
                                <w:r>
                                  <w:rPr>
                                    <w:rFonts w:hint="eastAsia" w:ascii="Times New Roman" w:cstheme="minorBidi"/>
                                    <w:color w:val="000000" w:themeColor="text1"/>
                                    <w:kern w:val="2"/>
                                    <w:sz w:val="13"/>
                                    <w:szCs w:val="13"/>
                                    <w14:textFill>
                                      <w14:solidFill>
                                        <w14:schemeClr w14:val="tx1"/>
                                      </w14:solidFill>
                                    </w14:textFill>
                                  </w:rPr>
                                  <w:t>功能点法</w:t>
                                </w:r>
                              </w:p>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估算规模</w:t>
                                </w:r>
                              </w:p>
                            </w:txbxContent>
                          </wps:txbx>
                          <wps:bodyPr rot="0" vert="horz" wrap="square" lIns="91440" tIns="45720" rIns="91440" bIns="45720" anchor="t" anchorCtr="0" upright="1">
                            <a:noAutofit/>
                          </wps:bodyPr>
                        </wps:wsp>
                        <wps:wsp>
                          <wps:cNvPr id="25" name="Text Box 62"/>
                          <wps:cNvSpPr txBox="1">
                            <a:spLocks noChangeArrowheads="1"/>
                          </wps:cNvSpPr>
                          <wps:spPr bwMode="auto">
                            <a:xfrm>
                              <a:off x="1045483" y="489816"/>
                              <a:ext cx="1757" cy="613"/>
                            </a:xfrm>
                            <a:prstGeom prst="rect">
                              <a:avLst/>
                            </a:prstGeom>
                            <a:solidFill>
                              <a:srgbClr val="FFFFFF"/>
                            </a:solidFill>
                            <a:ln w="9525">
                              <a:solidFill>
                                <a:srgbClr val="000000"/>
                              </a:solidFill>
                              <a:miter lim="800000"/>
                            </a:ln>
                          </wps:spPr>
                          <wps:txbx>
                            <w:txbxContent>
                              <w:p>
                                <w:pPr>
                                  <w:pStyle w:val="26"/>
                                  <w:spacing w:before="0" w:beforeAutospacing="0" w:after="0" w:afterAutospacing="0"/>
                                  <w:jc w:val="center"/>
                                  <w:rPr>
                                    <w:rFonts w:hint="eastAsia" w:ascii="Times New Roman" w:cstheme="minorBidi"/>
                                    <w:color w:val="000000" w:themeColor="text1"/>
                                    <w:kern w:val="2"/>
                                    <w:sz w:val="13"/>
                                    <w:szCs w:val="13"/>
                                    <w14:textFill>
                                      <w14:solidFill>
                                        <w14:schemeClr w14:val="tx1"/>
                                      </w14:solidFill>
                                    </w14:textFill>
                                  </w:rPr>
                                </w:pPr>
                                <w:r>
                                  <w:rPr>
                                    <w:rFonts w:hint="eastAsia" w:ascii="Times New Roman" w:cstheme="minorBidi"/>
                                    <w:color w:val="000000" w:themeColor="text1"/>
                                    <w:kern w:val="2"/>
                                    <w:sz w:val="13"/>
                                    <w:szCs w:val="13"/>
                                    <w14:textFill>
                                      <w14:solidFill>
                                        <w14:schemeClr w14:val="tx1"/>
                                      </w14:solidFill>
                                    </w14:textFill>
                                  </w:rPr>
                                  <w:t>适配点法</w:t>
                                </w:r>
                              </w:p>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估算规模</w:t>
                                </w:r>
                              </w:p>
                            </w:txbxContent>
                          </wps:txbx>
                          <wps:bodyPr rot="0" vert="horz" wrap="square" lIns="91440" tIns="45720" rIns="91440" bIns="45720" anchor="t" anchorCtr="0" upright="1">
                            <a:noAutofit/>
                          </wps:bodyPr>
                        </wps:wsp>
                      </wpg:grpSp>
                      <wps:wsp>
                        <wps:cNvPr id="26" name="肘形连接符 26"/>
                        <wps:cNvCnPr>
                          <a:stCxn id="17" idx="3"/>
                          <a:endCxn id="8" idx="3"/>
                        </wps:cNvCnPr>
                        <wps:spPr>
                          <a:xfrm>
                            <a:off x="4896544" y="139700"/>
                            <a:ext cx="21198" cy="1141662"/>
                          </a:xfrm>
                          <a:prstGeom prst="bentConnector3">
                            <a:avLst>
                              <a:gd name="adj1" fmla="val 1178404"/>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29" o:spid="_x0000_s1026" o:spt="203" style="position:absolute;left:0pt;margin-left:14.35pt;margin-top:12.2pt;height:135.7pt;width:443.55pt;z-index:251663360;mso-width-relative:page;mso-height-relative:page;" coordsize="6624390,1756426" o:gfxdata="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">
                <o:lock v:ext="edit" aspectratio="f"/>
                <v:rect id="_x0000_s1026" o:spid="_x0000_s1026" o:spt="1" style="position:absolute;left:864096;top:393923;height:1362502;width:1236235;" fillcolor="#FFFFFF" filled="t" stroked="t" coordsize="21600,21600" o:gfxdata="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vvZDvQAA&#10;ANoAAAAPAAAAAAAAAAEAIAAAACIAAABkcnMvZG93bnJldi54bWxQSwECFAAUAAAACACHTuJAMy8F&#10;njsAAAA5AAAAEAAAAAAAAAABACAAAAAMAQAAZHJzL3NoYXBleG1sLnhtbFBLBQYAAAAABgAGAFsB&#10;AAC2AwAAAAA=&#10;">
                  <v:fill on="t" focussize="0,0"/>
                  <v:stroke color="#000000" miterlimit="8" joinstyle="miter" dashstyle="dash"/>
                  <v:imagedata o:title=""/>
                  <o:lock v:ext="edit" aspectratio="f"/>
                </v:rect>
                <v:rect id="_x0000_s1026" o:spid="_x0000_s1026" o:spt="1" style="position:absolute;left:2181406;top:388274;height:1368152;width:1287781;" fillcolor="#FFFFFF" filled="t" stroked="t" coordsize="21600,21600" o:gfxdata="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IM2vvQAA&#10;ANoAAAAPAAAAAAAAAAEAIAAAACIAAABkcnMvZG93bnJldi54bWxQSwECFAAUAAAACACHTuJAMy8F&#10;njsAAAA5AAAAEAAAAAAAAAABACAAAAAMAQAAZHJzL3NoYXBleG1sLnhtbFBLBQYAAAAABgAGAFsB&#10;AAC2AwAAAAA=&#10;">
                  <v:fill on="t" focussize="0,0"/>
                  <v:stroke color="#000000" miterlimit="8" joinstyle="miter" dashstyle="dash"/>
                  <v:imagedata o:title=""/>
                  <o:lock v:ext="edit" aspectratio="f"/>
                </v:rect>
                <v:shape id="文本框 12" o:spid="_x0000_s1026" o:spt="202" type="#_x0000_t202" style="position:absolute;left:5502598;top:504051;height:509864;width:1121792;"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t"/>
                  <v:textbo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确定应用软件适配改造成本</w:t>
                        </w:r>
                      </w:p>
                    </w:txbxContent>
                  </v:textbox>
                </v:shape>
                <v:shape id="文本框 11" o:spid="_x0000_s1026" o:spt="202" type="#_x0000_t202" style="position:absolute;left:3619650;top:1142455;height:277813;width:1298092;"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间接非人力成本估算</w:t>
                        </w:r>
                      </w:p>
                    </w:txbxContent>
                  </v:textbox>
                </v:shape>
                <v:shape id="_x0000_s1026" o:spid="_x0000_s1026" o:spt="32" type="#_x0000_t32" style="position:absolute;left:3276508;top:124975;height:0;width:306705;" filled="f" stroked="t" coordsize="21600,21600" o:gfxdata="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eNHT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5" o:spid="_x0000_s1026" o:spt="202" type="#_x0000_t202" style="position:absolute;left:1109023;top:0;height:279400;width:885825;v-text-anchor:middle;" fillcolor="#FFFFFF" filled="t" stroked="t" coordsize="21600,21600" o:gfxdata="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mMkfL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t"/>
                  <v:textbo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软件规模估算</w:t>
                        </w:r>
                      </w:p>
                    </w:txbxContent>
                  </v:textbox>
                </v:shape>
                <v:group id="_x0000_s1026" o:spid="_x0000_s1026" o:spt="203" style="position:absolute;left:2233843;top:488986;height:1121410;width:1128395;" coordorigin="2214823,488986" coordsize="1777,176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Text Box 60" o:spid="_x0000_s1026" o:spt="202" type="#_x0000_t202" style="position:absolute;left:2214843;top:488986;height:439;width:1757;"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方程法估算工作量</w:t>
                          </w:r>
                        </w:p>
                      </w:txbxContent>
                    </v:textbox>
                  </v:shape>
                  <v:shape id="Text Box 61" o:spid="_x0000_s1026" o:spt="202" type="#_x0000_t202" style="position:absolute;left:2214823;top:490313;height:439;width:1757;"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类推法估算工作量</w:t>
                          </w:r>
                        </w:p>
                      </w:txbxContent>
                    </v:textbox>
                  </v:shape>
                  <v:shape id="Text Box 62" o:spid="_x0000_s1026" o:spt="202" type="#_x0000_t202" style="position:absolute;left:2214823;top:489683;height:439;width:1757;"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类比法估算工作量</w:t>
                          </w:r>
                        </w:p>
                      </w:txbxContent>
                    </v:textbox>
                  </v:shape>
                </v:group>
                <v:shape id="_x0000_s1026" o:spid="_x0000_s1026" o:spt="32" type="#_x0000_t32" style="position:absolute;left:1996800;top:133364;height:0;width:291465;"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7" o:spid="_x0000_s1026" o:spt="202" type="#_x0000_t202" style="position:absolute;left:2291771;top:0;height:279400;width:1000125;"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t"/>
                  <v:textbox>
                    <w:txbxContent>
                      <w:p>
                        <w:pPr>
                          <w:pStyle w:val="26"/>
                          <w:spacing w:before="0" w:beforeAutospacing="0" w:after="0" w:afterAutospacing="0"/>
                          <w:jc w:val="center"/>
                          <w:rPr>
                            <w:rFonts w:hint="eastAsia"/>
                            <w:sz w:val="13"/>
                            <w:szCs w:val="13"/>
                          </w:rPr>
                        </w:pPr>
                        <w:r>
                          <w:rPr>
                            <w:rFonts w:hint="eastAsia" w:cstheme="minorBidi"/>
                            <w:color w:val="000000" w:themeColor="text1"/>
                            <w:kern w:val="24"/>
                            <w:sz w:val="13"/>
                            <w:szCs w:val="13"/>
                            <w14:textFill>
                              <w14:solidFill>
                                <w14:schemeClr w14:val="tx1"/>
                              </w14:solidFill>
                            </w14:textFill>
                          </w:rPr>
                          <w:t>工作量估算</w:t>
                        </w:r>
                      </w:p>
                    </w:txbxContent>
                  </v:textbox>
                </v:shape>
                <v:shape id="文本框 8" o:spid="_x0000_s1026" o:spt="202" type="#_x0000_t202" style="position:absolute;left:3601495;top:0;height:279400;width:1295049;v-text-anchor:middle;" fillcolor="#FFFFFF" filled="t" stroked="t" coordsize="21600,21600" o:gfxdata="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Yq8CL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t"/>
                  <v:textbox>
                    <w:txbxContent>
                      <w:p>
                        <w:pPr>
                          <w:pStyle w:val="26"/>
                          <w:spacing w:before="0" w:beforeAutospacing="0" w:after="0" w:afterAutospacing="0"/>
                          <w:jc w:val="center"/>
                          <w:rPr>
                            <w:rFonts w:hint="eastAsia"/>
                            <w:sz w:val="13"/>
                            <w:szCs w:val="13"/>
                          </w:rPr>
                        </w:pPr>
                        <w:r>
                          <w:rPr>
                            <w:rFonts w:hint="eastAsia" w:cstheme="minorBidi"/>
                            <w:color w:val="000000" w:themeColor="text1"/>
                            <w:kern w:val="24"/>
                            <w:sz w:val="13"/>
                            <w:szCs w:val="13"/>
                            <w14:textFill>
                              <w14:solidFill>
                                <w14:schemeClr w14:val="tx1"/>
                              </w14:solidFill>
                            </w14:textFill>
                          </w:rPr>
                          <w:t>直接人力成本估算</w:t>
                        </w:r>
                      </w:p>
                    </w:txbxContent>
                  </v:textbox>
                </v:shape>
                <v:shape id="_x0000_s1026" o:spid="_x0000_s1026" o:spt="32" type="#_x0000_t32" style="position:absolute;left:5184576;top:679351;height:0;width:306705;" filled="f" stroked="t" coordsize="21600,21600"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文本框 18" o:spid="_x0000_s1026" o:spt="202" type="#_x0000_t202" style="position:absolute;left:0;top:0;height:279400;width:885825;v-text-anchor:middle;" fillcolor="#FFFFFF" filled="t" stroked="t" coordsize="21600,21600" o:gfxdata="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1mN4b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t"/>
                  <v:textbox>
                    <w:txbxContent>
                      <w:p>
                        <w:pPr>
                          <w:pStyle w:val="26"/>
                          <w:spacing w:before="0" w:beforeAutospacing="0" w:after="0" w:afterAutospacing="0"/>
                          <w:jc w:val="center"/>
                          <w:textAlignment w:val="baseline"/>
                          <w:rPr>
                            <w:rFonts w:hint="eastAsia"/>
                            <w:sz w:val="13"/>
                            <w:szCs w:val="13"/>
                          </w:rPr>
                        </w:pPr>
                        <w:r>
                          <w:rPr>
                            <w:rFonts w:hint="eastAsia" w:ascii="Times New Roman" w:cs="Times New Roman"/>
                            <w:color w:val="000000" w:themeColor="text1"/>
                            <w:kern w:val="24"/>
                            <w:sz w:val="13"/>
                            <w:szCs w:val="13"/>
                            <w14:textFill>
                              <w14:solidFill>
                                <w14:schemeClr w14:val="tx1"/>
                              </w14:solidFill>
                            </w14:textFill>
                          </w:rPr>
                          <w:t>工作内容分解</w:t>
                        </w:r>
                      </w:p>
                    </w:txbxContent>
                  </v:textbox>
                </v:shape>
                <v:shape id="_x0000_s1026" o:spid="_x0000_s1026" o:spt="32" type="#_x0000_t32" style="position:absolute;left:885825;top:141675;height:0;width:228600;" filled="f" stroked="t" coordsize="21600,21600" o:gfxdata="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j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Text Box 39" o:spid="_x0000_s1026" o:spt="202" type="#_x0000_t202" style="position:absolute;left:3622693;top:772196;height:277495;width:1295049;"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t"/>
                  <v:textbo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间接人力成本估算</w:t>
                        </w:r>
                      </w:p>
                    </w:txbxContent>
                  </v:textbox>
                </v:shape>
                <v:shape id="Text Box 40" o:spid="_x0000_s1026" o:spt="202" type="#_x0000_t202" style="position:absolute;left:3622693;top:388049;height:277495;width:1295049;"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t"/>
                  <v:textbox>
                    <w:txbxContent>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直接非人力成本</w:t>
                        </w:r>
                        <w:r>
                          <w:rPr>
                            <w:rFonts w:hint="eastAsia" w:ascii="Times New Roman" w:hAnsi="等线" w:eastAsiaTheme="minorEastAsia" w:cstheme="minorBidi"/>
                            <w:color w:val="000000" w:themeColor="text1"/>
                            <w:kern w:val="2"/>
                            <w:sz w:val="13"/>
                            <w:szCs w:val="13"/>
                            <w14:textFill>
                              <w14:solidFill>
                                <w14:schemeClr w14:val="tx1"/>
                              </w14:solidFill>
                            </w14:textFill>
                          </w:rPr>
                          <w:t>估算</w:t>
                        </w:r>
                      </w:p>
                    </w:txbxContent>
                  </v:textbox>
                </v:shape>
                <v:group id="_x0000_s1026" o:spid="_x0000_s1026" o:spt="203" style="position:absolute;left:1045483;top:518446;height:1059491;width:958423;" coordorigin="1045483,488963" coordsize="1757,1466"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Text Box 60" o:spid="_x0000_s1026" o:spt="202" type="#_x0000_t202" style="position:absolute;left:1045483;top:488963;height:612;width:1757;"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pStyle w:val="26"/>
                            <w:spacing w:before="0" w:beforeAutospacing="0" w:after="0" w:afterAutospacing="0"/>
                            <w:jc w:val="center"/>
                            <w:rPr>
                              <w:rFonts w:hint="eastAsia" w:ascii="Times New Roman" w:cstheme="minorBidi"/>
                              <w:color w:val="000000" w:themeColor="text1"/>
                              <w:kern w:val="2"/>
                              <w:sz w:val="13"/>
                              <w:szCs w:val="13"/>
                              <w14:textFill>
                                <w14:solidFill>
                                  <w14:schemeClr w14:val="tx1"/>
                                </w14:solidFill>
                              </w14:textFill>
                            </w:rPr>
                          </w:pPr>
                          <w:r>
                            <w:rPr>
                              <w:rFonts w:hint="eastAsia" w:ascii="Times New Roman" w:cstheme="minorBidi"/>
                              <w:color w:val="000000" w:themeColor="text1"/>
                              <w:kern w:val="2"/>
                              <w:sz w:val="13"/>
                              <w:szCs w:val="13"/>
                              <w14:textFill>
                                <w14:solidFill>
                                  <w14:schemeClr w14:val="tx1"/>
                                </w14:solidFill>
                              </w14:textFill>
                            </w:rPr>
                            <w:t>功能点法</w:t>
                          </w:r>
                        </w:p>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估算规模</w:t>
                          </w:r>
                        </w:p>
                      </w:txbxContent>
                    </v:textbox>
                  </v:shape>
                  <v:shape id="Text Box 62" o:spid="_x0000_s1026" o:spt="202" type="#_x0000_t202" style="position:absolute;left:1045483;top:489816;height:613;width:1757;"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pStyle w:val="26"/>
                            <w:spacing w:before="0" w:beforeAutospacing="0" w:after="0" w:afterAutospacing="0"/>
                            <w:jc w:val="center"/>
                            <w:rPr>
                              <w:rFonts w:hint="eastAsia" w:ascii="Times New Roman" w:cstheme="minorBidi"/>
                              <w:color w:val="000000" w:themeColor="text1"/>
                              <w:kern w:val="2"/>
                              <w:sz w:val="13"/>
                              <w:szCs w:val="13"/>
                              <w14:textFill>
                                <w14:solidFill>
                                  <w14:schemeClr w14:val="tx1"/>
                                </w14:solidFill>
                              </w14:textFill>
                            </w:rPr>
                          </w:pPr>
                          <w:r>
                            <w:rPr>
                              <w:rFonts w:hint="eastAsia" w:ascii="Times New Roman" w:cstheme="minorBidi"/>
                              <w:color w:val="000000" w:themeColor="text1"/>
                              <w:kern w:val="2"/>
                              <w:sz w:val="13"/>
                              <w:szCs w:val="13"/>
                              <w14:textFill>
                                <w14:solidFill>
                                  <w14:schemeClr w14:val="tx1"/>
                                </w14:solidFill>
                              </w14:textFill>
                            </w:rPr>
                            <w:t>适配点法</w:t>
                          </w:r>
                        </w:p>
                        <w:p>
                          <w:pPr>
                            <w:pStyle w:val="26"/>
                            <w:spacing w:before="0" w:beforeAutospacing="0" w:after="0" w:afterAutospacing="0"/>
                            <w:jc w:val="center"/>
                            <w:rPr>
                              <w:rFonts w:hint="eastAsia"/>
                              <w:sz w:val="13"/>
                              <w:szCs w:val="13"/>
                            </w:rPr>
                          </w:pPr>
                          <w:r>
                            <w:rPr>
                              <w:rFonts w:hint="eastAsia" w:ascii="Times New Roman" w:cstheme="minorBidi"/>
                              <w:color w:val="000000" w:themeColor="text1"/>
                              <w:kern w:val="2"/>
                              <w:sz w:val="13"/>
                              <w:szCs w:val="13"/>
                              <w14:textFill>
                                <w14:solidFill>
                                  <w14:schemeClr w14:val="tx1"/>
                                </w14:solidFill>
                              </w14:textFill>
                            </w:rPr>
                            <w:t>估算规模</w:t>
                          </w:r>
                        </w:p>
                      </w:txbxContent>
                    </v:textbox>
                  </v:shape>
                </v:group>
                <v:shape id="_x0000_s1026" o:spid="_x0000_s1026" o:spt="34" type="#_x0000_t34" style="position:absolute;left:4896544;top:139700;height:1141662;width:21198;" filled="f" stroked="t" coordsize="21600,21600" o:gfxdata="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4f+SvQAA&#10;ANsAAAAPAAAAAAAAAAEAIAAAACIAAABkcnMvZG93bnJldi54bWxQSwECFAAUAAAACACHTuJAMy8F&#10;njsAAAA5AAAAEAAAAAAAAAABACAAAAAMAQAAZHJzL3NoYXBleG1sLnhtbFBLBQYAAAAABgAGAFsB&#10;AAC2AwAAAAA=&#10;" adj="254535">
                  <v:fill on="f" focussize="0,0"/>
                  <v:stroke weight="1pt" color="#000000 [3213]" miterlimit="8" joinstyle="miter"/>
                  <v:imagedata o:title=""/>
                  <o:lock v:ext="edit" aspectratio="f"/>
                </v:shape>
              </v:group>
            </w:pict>
          </mc:Fallback>
        </mc:AlternateContent>
      </w: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118"/>
        <w:spacing w:before="156" w:after="156"/>
        <w:rPr>
          <w:rFonts w:ascii="Times New Roman"/>
        </w:rPr>
      </w:pPr>
      <w:r>
        <w:rPr>
          <w:rFonts w:ascii="Times New Roman"/>
        </w:rPr>
        <w:t>成本估算基本流程</w:t>
      </w:r>
    </w:p>
    <w:p>
      <w:pPr>
        <w:pStyle w:val="69"/>
        <w:spacing w:before="156" w:after="156"/>
        <w:rPr>
          <w:rFonts w:ascii="Times New Roman"/>
        </w:rPr>
      </w:pPr>
      <w:bookmarkStart w:id="189" w:name="_Toc147926315"/>
      <w:bookmarkStart w:id="190" w:name="_Toc164340098"/>
      <w:bookmarkStart w:id="191" w:name="_Toc147824130"/>
      <w:bookmarkStart w:id="192" w:name="_Toc185238815"/>
      <w:r>
        <w:rPr>
          <w:rFonts w:ascii="Times New Roman"/>
        </w:rPr>
        <w:t>遵循原则</w:t>
      </w:r>
      <w:bookmarkEnd w:id="189"/>
      <w:bookmarkEnd w:id="190"/>
      <w:bookmarkEnd w:id="191"/>
      <w:bookmarkEnd w:id="192"/>
      <w:r>
        <w:rPr>
          <w:rFonts w:ascii="Times New Roman"/>
        </w:rPr>
        <w:t xml:space="preserve">  </w:t>
      </w:r>
    </w:p>
    <w:p>
      <w:pPr>
        <w:pStyle w:val="60"/>
        <w:ind w:firstLine="420"/>
        <w:rPr>
          <w:rFonts w:ascii="Times New Roman"/>
        </w:rPr>
      </w:pPr>
      <w:r>
        <w:rPr>
          <w:rFonts w:ascii="Times New Roman"/>
        </w:rPr>
        <w:t>在进行应用软件适配改造的规模、工作量、成本估算时遵循以下原则：</w:t>
      </w:r>
    </w:p>
    <w:p>
      <w:pPr>
        <w:pStyle w:val="178"/>
        <w:numPr>
          <w:ilvl w:val="0"/>
          <w:numId w:val="34"/>
        </w:numPr>
        <w:rPr>
          <w:rFonts w:ascii="Times New Roman"/>
        </w:rPr>
      </w:pPr>
      <w:r>
        <w:rPr>
          <w:rFonts w:ascii="Times New Roman"/>
        </w:rPr>
        <w:t>根据估算时机、项目特点和需求的详细程度选择合适的估算方法；</w:t>
      </w:r>
    </w:p>
    <w:p>
      <w:pPr>
        <w:pStyle w:val="178"/>
        <w:rPr>
          <w:rFonts w:ascii="Times New Roman"/>
        </w:rPr>
      </w:pPr>
      <w:r>
        <w:rPr>
          <w:rFonts w:ascii="Times New Roman"/>
        </w:rPr>
        <w:t>充分利用基准数据，采用方程法、类比法或类推法，对工作量、成本进行估算；</w:t>
      </w:r>
    </w:p>
    <w:p>
      <w:pPr>
        <w:pStyle w:val="178"/>
        <w:rPr>
          <w:rFonts w:ascii="Times New Roman"/>
        </w:rPr>
      </w:pPr>
      <w:r>
        <w:rPr>
          <w:rFonts w:ascii="Times New Roman"/>
        </w:rPr>
        <w:t>工作量、成本的估算结果宜为一个范围值；</w:t>
      </w:r>
    </w:p>
    <w:p>
      <w:pPr>
        <w:pStyle w:val="178"/>
        <w:rPr>
          <w:rFonts w:ascii="Times New Roman"/>
        </w:rPr>
      </w:pPr>
      <w:r>
        <w:rPr>
          <w:rFonts w:ascii="Times New Roman"/>
        </w:rPr>
        <w:t>如有明确的工期要求，充分考虑工期对项目成本的影响，可以根据项目实际情况以及工期对项目的影响程度，对成本的估算结果进行调整；</w:t>
      </w:r>
    </w:p>
    <w:p>
      <w:pPr>
        <w:pStyle w:val="178"/>
        <w:rPr>
          <w:rFonts w:ascii="Times New Roman"/>
        </w:rPr>
      </w:pPr>
      <w:r>
        <w:rPr>
          <w:rFonts w:ascii="Times New Roman"/>
        </w:rPr>
        <w:t>采用不同的方法分别估算并进行交叉验证，如果不同方法的估算结果产生较大差异，可采用专家评审方法确定估算结果，也可使用较简单的加权平均方法。</w:t>
      </w:r>
    </w:p>
    <w:p>
      <w:pPr>
        <w:pStyle w:val="69"/>
        <w:spacing w:before="156" w:after="156"/>
        <w:rPr>
          <w:rFonts w:ascii="Times New Roman"/>
        </w:rPr>
      </w:pPr>
      <w:bookmarkStart w:id="193" w:name="_Toc147824131"/>
      <w:bookmarkStart w:id="194" w:name="_Toc164340099"/>
      <w:bookmarkStart w:id="195" w:name="_Toc147926316"/>
      <w:bookmarkStart w:id="196" w:name="_Toc185238816"/>
      <w:r>
        <w:rPr>
          <w:rFonts w:ascii="Times New Roman"/>
        </w:rPr>
        <w:t>工作内容分解及估算方法选择</w:t>
      </w:r>
      <w:bookmarkEnd w:id="193"/>
      <w:bookmarkEnd w:id="194"/>
      <w:bookmarkEnd w:id="195"/>
      <w:bookmarkEnd w:id="196"/>
    </w:p>
    <w:p>
      <w:pPr>
        <w:pStyle w:val="235"/>
        <w:ind w:left="283" w:leftChars="135" w:firstLine="281" w:firstLineChars="134"/>
        <w:rPr>
          <w:rFonts w:ascii="Times New Roman"/>
        </w:rPr>
      </w:pPr>
      <w:r>
        <w:rPr>
          <w:rFonts w:ascii="Times New Roman"/>
        </w:rPr>
        <w:t>在进行应用软件适配改造项目成本估算前，应根据实际的信创改造适配需求对项目工作内容进行分解。对于不同类别的工作，可选择不同的估算方法。</w:t>
      </w:r>
    </w:p>
    <w:p>
      <w:pPr>
        <w:pStyle w:val="178"/>
        <w:numPr>
          <w:ilvl w:val="0"/>
          <w:numId w:val="35"/>
        </w:numPr>
        <w:rPr>
          <w:rFonts w:ascii="Times New Roman"/>
        </w:rPr>
      </w:pPr>
      <w:r>
        <w:rPr>
          <w:rFonts w:ascii="Times New Roman"/>
        </w:rPr>
        <w:t>安装配置类：不必估算软件规模，参考本文件描述的方法（如类比法、类推法等）和原则直接估算软件项目的工作量及成本。</w:t>
      </w:r>
    </w:p>
    <w:p>
      <w:pPr>
        <w:pStyle w:val="178"/>
        <w:rPr>
          <w:rFonts w:ascii="Times New Roman"/>
        </w:rPr>
      </w:pPr>
      <w:r>
        <w:rPr>
          <w:rFonts w:ascii="Times New Roman"/>
        </w:rPr>
        <w:t>数据迁移类：不必估算软件规模，参考本文件描述的方法（如类比法、类推法等）和原则直接估算数据迁移的工作量及成本。</w:t>
      </w:r>
    </w:p>
    <w:p>
      <w:pPr>
        <w:pStyle w:val="178"/>
        <w:rPr>
          <w:rFonts w:ascii="Times New Roman"/>
        </w:rPr>
      </w:pPr>
      <w:r>
        <w:rPr>
          <w:rFonts w:ascii="Times New Roman"/>
        </w:rPr>
        <w:t>适配</w:t>
      </w:r>
      <w:r>
        <w:rPr>
          <w:rFonts w:hint="eastAsia" w:ascii="Times New Roman"/>
        </w:rPr>
        <w:t>构建</w:t>
      </w:r>
      <w:r>
        <w:rPr>
          <w:rFonts w:ascii="Times New Roman"/>
        </w:rPr>
        <w:t>类：按照附录A中适配点方法进行规模估算、用方程法进行工作量及成本的估算。</w:t>
      </w:r>
    </w:p>
    <w:p>
      <w:pPr>
        <w:pStyle w:val="178"/>
        <w:rPr>
          <w:rFonts w:ascii="Times New Roman"/>
        </w:rPr>
      </w:pPr>
      <w:r>
        <w:rPr>
          <w:rFonts w:ascii="Times New Roman"/>
        </w:rPr>
        <w:t>功能重构类：可采用功能点方法进行规模估算，用方程法进行工作量及成本的估算。</w:t>
      </w:r>
    </w:p>
    <w:p>
      <w:pPr>
        <w:pStyle w:val="69"/>
        <w:spacing w:before="156" w:after="156"/>
        <w:rPr>
          <w:rFonts w:ascii="Times New Roman"/>
        </w:rPr>
      </w:pPr>
      <w:bookmarkStart w:id="197" w:name="_Toc147824132"/>
      <w:bookmarkStart w:id="198" w:name="_Toc185238817"/>
      <w:bookmarkStart w:id="199" w:name="_Toc164340100"/>
      <w:bookmarkStart w:id="200" w:name="_Toc147926317"/>
      <w:r>
        <w:rPr>
          <w:rFonts w:ascii="Times New Roman"/>
        </w:rPr>
        <w:t>规模估算</w:t>
      </w:r>
      <w:bookmarkEnd w:id="197"/>
      <w:bookmarkEnd w:id="198"/>
      <w:bookmarkEnd w:id="199"/>
      <w:bookmarkEnd w:id="200"/>
    </w:p>
    <w:p>
      <w:pPr>
        <w:pStyle w:val="168"/>
      </w:pPr>
      <w:r>
        <w:t>在规模估算前，应根据项目范围明确系统边界。对尚未确定的需求，在规模估算前确定估算原则。</w:t>
      </w:r>
    </w:p>
    <w:p>
      <w:pPr>
        <w:pStyle w:val="168"/>
      </w:pPr>
      <w:r>
        <w:t>估算人员应根据已确定的系统边界和需求描述，分析待改造的应用软件的系统架构、软件架构及开发语言，判断是否能基于现有应用软件程序代码进行信创适配：</w:t>
      </w:r>
    </w:p>
    <w:p>
      <w:pPr>
        <w:pStyle w:val="178"/>
        <w:numPr>
          <w:ilvl w:val="0"/>
          <w:numId w:val="36"/>
        </w:numPr>
      </w:pPr>
      <w:r>
        <w:t>如可以基于现有应用软件程序代码进行适配改造，则属于5.2.3中的工作内容，按照附录A中的适配点（AP）方法度量软件规模。</w:t>
      </w:r>
    </w:p>
    <w:p>
      <w:pPr>
        <w:pStyle w:val="178"/>
      </w:pPr>
      <w:r>
        <w:t>如不能，则属于5.2.4中的工作内容，可选择</w:t>
      </w:r>
      <w:r>
        <w:rPr>
          <w:szCs w:val="22"/>
        </w:rPr>
        <w:t>GB/T</w:t>
      </w:r>
      <w:r>
        <w:rPr>
          <w:szCs w:val="22"/>
          <w:vertAlign w:val="superscript"/>
        </w:rPr>
        <w:t xml:space="preserve"> </w:t>
      </w:r>
      <w:r>
        <w:rPr>
          <w:szCs w:val="22"/>
        </w:rPr>
        <w:t>42449、</w:t>
      </w:r>
      <w:r>
        <w:t>GB/T</w:t>
      </w:r>
      <w:r>
        <w:rPr>
          <w:vertAlign w:val="superscript"/>
        </w:rPr>
        <w:t xml:space="preserve"> </w:t>
      </w:r>
      <w:r>
        <w:t>42452或GB/T 42588中的方法进行规模估算。</w:t>
      </w:r>
    </w:p>
    <w:p>
      <w:pPr>
        <w:pStyle w:val="168"/>
      </w:pPr>
      <w:r>
        <w:t>在进行规模测算时，应根据隐含需求及未来需求变更对规模产生的影响并对测算结果进行调整，见公式（1）。</w:t>
      </w:r>
    </w:p>
    <w:p>
      <w:pPr>
        <w:pStyle w:val="117"/>
        <w:rPr>
          <w:rFonts w:ascii="Times New Roman" w:hAnsi="Times New Roman"/>
        </w:rPr>
      </w:pPr>
      <w:r>
        <w:rPr>
          <w:rFonts w:ascii="Times New Roman" w:hAnsi="Times New Roman"/>
        </w:rPr>
        <w:tab/>
      </w:r>
      <m:oMath>
        <m:r>
          <m:rPr/>
          <w:rPr>
            <w:rFonts w:ascii="Cambria Math" w:hAnsi="Cambria Math"/>
          </w:rPr>
          <m:t>S=US×CF</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pPr>
        <w:pStyle w:val="60"/>
        <w:ind w:firstLine="420"/>
        <w:rPr>
          <w:rFonts w:ascii="Times New Roman"/>
        </w:rPr>
      </w:pPr>
      <w:r>
        <w:rPr>
          <w:rFonts w:ascii="Times New Roman"/>
        </w:rPr>
        <w:t>式中：</w:t>
      </w:r>
    </w:p>
    <w:p>
      <w:pPr>
        <w:pStyle w:val="60"/>
        <w:ind w:firstLine="420"/>
        <w:rPr>
          <w:rFonts w:ascii="Times New Roman"/>
        </w:rPr>
      </w:pPr>
      <w:r>
        <w:rPr>
          <w:rFonts w:ascii="Times New Roman"/>
          <w:i/>
          <w:iCs/>
        </w:rPr>
        <w:t>S</w:t>
      </w:r>
      <w:r>
        <w:rPr>
          <w:rFonts w:ascii="Times New Roman"/>
        </w:rPr>
        <w:t xml:space="preserve">  ——调整后的软件规模，单位为功能点（FP）或适配点（AP）；</w:t>
      </w:r>
    </w:p>
    <w:p>
      <w:pPr>
        <w:pStyle w:val="60"/>
        <w:ind w:firstLine="420"/>
        <w:rPr>
          <w:rFonts w:ascii="Times New Roman"/>
        </w:rPr>
      </w:pPr>
      <w:r>
        <w:rPr>
          <w:rFonts w:ascii="Times New Roman"/>
          <w:i/>
          <w:iCs/>
        </w:rPr>
        <w:t>US</w:t>
      </w:r>
      <w:r>
        <w:rPr>
          <w:rFonts w:ascii="Times New Roman"/>
        </w:rPr>
        <w:t xml:space="preserve"> ——未调整软件规模，单位为功能点（FP）或适配点（AP）；</w:t>
      </w:r>
    </w:p>
    <w:p>
      <w:pPr>
        <w:pStyle w:val="60"/>
        <w:ind w:firstLine="420"/>
        <w:rPr>
          <w:rFonts w:ascii="Times New Roman"/>
        </w:rPr>
      </w:pPr>
      <w:r>
        <w:rPr>
          <w:rFonts w:ascii="Times New Roman"/>
          <w:i/>
          <w:iCs/>
        </w:rPr>
        <w:t>CF</w:t>
      </w:r>
      <w:r>
        <w:rPr>
          <w:rFonts w:ascii="Times New Roman"/>
        </w:rPr>
        <w:t xml:space="preserve"> ——规模变更调整因子，</w:t>
      </w:r>
      <w:r>
        <w:rPr>
          <w:rFonts w:ascii="Times New Roman"/>
          <w:i/>
          <w:iCs/>
        </w:rPr>
        <w:t>CF</w:t>
      </w:r>
      <w:r>
        <w:rPr>
          <w:rFonts w:ascii="Times New Roman"/>
        </w:rPr>
        <w:t>的取值参考相关行业基准数据或同类项目历史数据。</w:t>
      </w:r>
    </w:p>
    <w:p>
      <w:pPr>
        <w:pStyle w:val="69"/>
        <w:spacing w:before="156" w:after="156"/>
        <w:rPr>
          <w:rFonts w:ascii="Times New Roman"/>
        </w:rPr>
      </w:pPr>
      <w:bookmarkStart w:id="201" w:name="_Toc147824133"/>
      <w:bookmarkStart w:id="202" w:name="_Toc147926318"/>
      <w:bookmarkStart w:id="203" w:name="_Toc504576676"/>
      <w:bookmarkStart w:id="204" w:name="_Toc501891526"/>
      <w:bookmarkStart w:id="205" w:name="_Toc164340101"/>
      <w:bookmarkStart w:id="206" w:name="_Toc345947429"/>
      <w:bookmarkStart w:id="207" w:name="_Toc185238818"/>
      <w:r>
        <w:rPr>
          <w:rFonts w:ascii="Times New Roman"/>
        </w:rPr>
        <w:t>工作量估算</w:t>
      </w:r>
      <w:bookmarkEnd w:id="201"/>
      <w:bookmarkEnd w:id="202"/>
      <w:bookmarkEnd w:id="203"/>
      <w:bookmarkEnd w:id="204"/>
      <w:bookmarkEnd w:id="205"/>
      <w:bookmarkEnd w:id="206"/>
      <w:bookmarkEnd w:id="207"/>
    </w:p>
    <w:p>
      <w:pPr>
        <w:pStyle w:val="98"/>
        <w:spacing w:before="156" w:after="156"/>
        <w:rPr>
          <w:rFonts w:ascii="Times New Roman"/>
        </w:rPr>
      </w:pPr>
      <w:r>
        <w:rPr>
          <w:rFonts w:ascii="Times New Roman"/>
        </w:rPr>
        <w:t>估算准备</w:t>
      </w:r>
    </w:p>
    <w:p>
      <w:pPr>
        <w:pStyle w:val="60"/>
        <w:ind w:firstLine="420"/>
        <w:rPr>
          <w:rFonts w:ascii="Times New Roman"/>
        </w:rPr>
      </w:pPr>
      <w:r>
        <w:rPr>
          <w:rFonts w:ascii="Times New Roman"/>
        </w:rPr>
        <w:t>在进行工作量估算前，应做如下准备。</w:t>
      </w:r>
    </w:p>
    <w:p>
      <w:pPr>
        <w:pStyle w:val="178"/>
        <w:numPr>
          <w:ilvl w:val="0"/>
          <w:numId w:val="37"/>
        </w:numPr>
        <w:rPr>
          <w:rFonts w:ascii="Times New Roman"/>
        </w:rPr>
      </w:pPr>
      <w:r>
        <w:rPr>
          <w:rFonts w:ascii="Times New Roman"/>
        </w:rPr>
        <w:t>对项目风险进行分析。风险分析时考虑技术、管理、资源、商业多方面因素。例如需求变更、外部协作、时间或成本约束、人力资源、系统架构、用户接口、外购或复用、采用新技术等。对实现功能复用情况进行分析，识别出复用的功能及可复用的程度。</w:t>
      </w:r>
    </w:p>
    <w:p>
      <w:pPr>
        <w:pStyle w:val="178"/>
        <w:rPr>
          <w:rFonts w:ascii="Times New Roman"/>
        </w:rPr>
      </w:pPr>
      <w:r>
        <w:rPr>
          <w:rFonts w:ascii="Times New Roman"/>
        </w:rPr>
        <w:t>根据经验或相关性分析结果，确定影响工作量的主要属性。考虑的主要因素包括但不限于：</w:t>
      </w:r>
    </w:p>
    <w:p>
      <w:pPr>
        <w:pStyle w:val="113"/>
        <w:numPr>
          <w:ilvl w:val="1"/>
          <w:numId w:val="38"/>
        </w:numPr>
        <w:rPr>
          <w:rFonts w:ascii="Times New Roman"/>
        </w:rPr>
      </w:pPr>
      <w:r>
        <w:rPr>
          <w:rFonts w:ascii="Times New Roman"/>
        </w:rPr>
        <w:t>软件规模；</w:t>
      </w:r>
    </w:p>
    <w:p>
      <w:pPr>
        <w:pStyle w:val="113"/>
        <w:rPr>
          <w:rFonts w:ascii="Times New Roman"/>
        </w:rPr>
      </w:pPr>
      <w:r>
        <w:rPr>
          <w:rFonts w:ascii="Times New Roman"/>
          <w:szCs w:val="21"/>
        </w:rPr>
        <w:t>应用领域，如组织类型、软件业务领域、软件应用类型等；</w:t>
      </w:r>
    </w:p>
    <w:p>
      <w:pPr>
        <w:pStyle w:val="113"/>
        <w:rPr>
          <w:rFonts w:ascii="Times New Roman"/>
          <w:szCs w:val="21"/>
        </w:rPr>
      </w:pPr>
      <w:r>
        <w:rPr>
          <w:rFonts w:ascii="Times New Roman"/>
          <w:szCs w:val="21"/>
        </w:rPr>
        <w:t xml:space="preserve">软件的完整性级别，软件完整性级别应按照GB/T </w:t>
      </w:r>
      <w:r>
        <w:rPr>
          <w:rFonts w:ascii="Times New Roman"/>
        </w:rPr>
        <w:t>25000.10</w:t>
      </w:r>
      <w:r>
        <w:rPr>
          <w:rFonts w:ascii="Times New Roman"/>
          <w:szCs w:val="21"/>
        </w:rPr>
        <w:t>中描述的定义。</w:t>
      </w:r>
    </w:p>
    <w:p>
      <w:pPr>
        <w:pStyle w:val="113"/>
        <w:rPr>
          <w:rFonts w:ascii="Times New Roman"/>
        </w:rPr>
      </w:pPr>
      <w:r>
        <w:rPr>
          <w:rFonts w:ascii="Times New Roman"/>
          <w:szCs w:val="21"/>
        </w:rPr>
        <w:t>质量要求，如可靠性、易用性、性能效率、可维护性、可移植性。相关的系统与软件质量特性应符合</w:t>
      </w:r>
      <w:r>
        <w:rPr>
          <w:rFonts w:ascii="Times New Roman"/>
        </w:rPr>
        <w:t>GB/T 25000.10中的规定；</w:t>
      </w:r>
    </w:p>
    <w:p>
      <w:pPr>
        <w:pStyle w:val="113"/>
        <w:rPr>
          <w:rFonts w:ascii="Times New Roman"/>
        </w:rPr>
      </w:pPr>
      <w:r>
        <w:rPr>
          <w:rFonts w:ascii="Times New Roman"/>
          <w:szCs w:val="21"/>
        </w:rPr>
        <w:t>工期要求，如工期要求的合理性，紧迫度等。</w:t>
      </w:r>
    </w:p>
    <w:p>
      <w:pPr>
        <w:pStyle w:val="113"/>
        <w:rPr>
          <w:rFonts w:ascii="Times New Roman"/>
        </w:rPr>
      </w:pPr>
      <w:r>
        <w:rPr>
          <w:rFonts w:ascii="Times New Roman"/>
        </w:rPr>
        <w:t>采用技术，如开发平台、编程语言、系统架构、操作系统等；</w:t>
      </w:r>
    </w:p>
    <w:p>
      <w:pPr>
        <w:pStyle w:val="113"/>
        <w:rPr>
          <w:rFonts w:ascii="Times New Roman"/>
        </w:rPr>
      </w:pPr>
      <w:r>
        <w:rPr>
          <w:rFonts w:ascii="Times New Roman"/>
        </w:rPr>
        <w:t>开发团队，如开发方组织类型、团队规模、人员能力等；</w:t>
      </w:r>
    </w:p>
    <w:p>
      <w:pPr>
        <w:pStyle w:val="113"/>
        <w:rPr>
          <w:rFonts w:ascii="Times New Roman"/>
        </w:rPr>
      </w:pPr>
      <w:r>
        <w:rPr>
          <w:rFonts w:ascii="Times New Roman"/>
        </w:rPr>
        <w:t>过程能力，如开发方过程成熟度水平、管理要求等。</w:t>
      </w:r>
    </w:p>
    <w:p>
      <w:pPr>
        <w:pStyle w:val="178"/>
        <w:rPr>
          <w:rFonts w:ascii="Times New Roman"/>
        </w:rPr>
      </w:pPr>
      <w:r>
        <w:rPr>
          <w:rFonts w:ascii="Times New Roman"/>
        </w:rPr>
        <w:t>选择合适的工作量估算方法。对于难以进行规模估算的项目，宜采用类比法或类推法；对于已经进行了规模估算的项目，宜采用方程法。</w:t>
      </w:r>
    </w:p>
    <w:p>
      <w:pPr>
        <w:pStyle w:val="183"/>
        <w:rPr>
          <w:rFonts w:ascii="Times New Roman"/>
        </w:rPr>
      </w:pPr>
      <w:r>
        <w:rPr>
          <w:rFonts w:ascii="Times New Roman"/>
        </w:rPr>
        <w:t>不同企业依据实际情况对调整因子以及调整因子的参数范围进行自定义。</w:t>
      </w:r>
    </w:p>
    <w:p>
      <w:pPr>
        <w:pStyle w:val="98"/>
        <w:spacing w:before="156" w:after="156"/>
        <w:rPr>
          <w:rFonts w:ascii="Times New Roman"/>
        </w:rPr>
      </w:pPr>
      <w:r>
        <w:rPr>
          <w:rFonts w:ascii="Times New Roman"/>
        </w:rPr>
        <w:t>估算与调整</w:t>
      </w:r>
    </w:p>
    <w:p>
      <w:pPr>
        <w:pStyle w:val="171"/>
      </w:pPr>
      <w:r>
        <w:t>在进行工作量估算时，应做如下调整。</w:t>
      </w:r>
    </w:p>
    <w:p>
      <w:pPr>
        <w:pStyle w:val="178"/>
        <w:numPr>
          <w:ilvl w:val="0"/>
          <w:numId w:val="39"/>
        </w:numPr>
        <w:rPr>
          <w:rFonts w:ascii="Times New Roman"/>
        </w:rPr>
      </w:pPr>
      <w:r>
        <w:rPr>
          <w:rFonts w:ascii="Times New Roman"/>
        </w:rPr>
        <w:t>根据风险分析结果，对估算方法或模型进行合理调整，如调整估算模型中影响因子的权重值。</w:t>
      </w:r>
    </w:p>
    <w:p>
      <w:pPr>
        <w:pStyle w:val="178"/>
        <w:rPr>
          <w:rFonts w:ascii="Times New Roman"/>
          <w:szCs w:val="21"/>
        </w:rPr>
      </w:pPr>
      <w:r>
        <w:rPr>
          <w:rFonts w:ascii="Times New Roman"/>
          <w:szCs w:val="21"/>
        </w:rPr>
        <w:t>根据可复用功能的规模及可复用程度对工作量估算进行调整。</w:t>
      </w:r>
    </w:p>
    <w:p>
      <w:pPr>
        <w:pStyle w:val="178"/>
        <w:rPr>
          <w:rFonts w:ascii="Times New Roman"/>
        </w:rPr>
      </w:pPr>
      <w:r>
        <w:rPr>
          <w:rFonts w:ascii="Times New Roman"/>
        </w:rPr>
        <w:t>采用不同的工作量估算方法时，分别遵循以下调整原则。</w:t>
      </w:r>
    </w:p>
    <w:p>
      <w:pPr>
        <w:pStyle w:val="113"/>
        <w:numPr>
          <w:ilvl w:val="1"/>
          <w:numId w:val="40"/>
        </w:numPr>
        <w:rPr>
          <w:rFonts w:ascii="Times New Roman"/>
        </w:rPr>
      </w:pPr>
      <w:r>
        <w:rPr>
          <w:rFonts w:ascii="Times New Roman"/>
        </w:rPr>
        <w:t>在使用类推法时，参考的历史项目应和待估算项目有高度的相似性。在估算时应识别出待估算项目与参考历史项目的主要差异并对估算结果进行适当调整。</w:t>
      </w:r>
    </w:p>
    <w:p>
      <w:pPr>
        <w:pStyle w:val="113"/>
        <w:rPr>
          <w:rFonts w:ascii="Times New Roman"/>
        </w:rPr>
      </w:pPr>
      <w:r>
        <w:rPr>
          <w:rFonts w:ascii="Times New Roman"/>
        </w:rPr>
        <w:t>在使用类比法时，应根据主要项目特征对基准数据进行筛选。当用于比对的项目数量过少时，宜按照不同项目属性分别筛选比对，综合考虑工作量估算结果。</w:t>
      </w:r>
    </w:p>
    <w:p>
      <w:pPr>
        <w:pStyle w:val="113"/>
        <w:rPr>
          <w:rFonts w:ascii="Times New Roman"/>
        </w:rPr>
      </w:pPr>
      <w:r>
        <w:rPr>
          <w:rFonts w:ascii="Times New Roman"/>
        </w:rPr>
        <w:t>在使用方程法时，宜基于基准数据，并采用回归分析方法，建立回归方程。可根据完整的多元方程（包含所有工作量影响因子），直接计算出估算结果；也可根据较简单的方程（包含部分工作量影响因子），计算出初步的工作量估算结果，再根据其他调整因子，对工作量估算结果进行调整。</w:t>
      </w:r>
    </w:p>
    <w:p>
      <w:pPr>
        <w:pStyle w:val="171"/>
      </w:pPr>
      <w:r>
        <w:t>宜采用不同的方法分别估算工作量并进行交叉验证。如果不同方法的估算结果产生较大差异，可采用专家评审方法确定估算结果，也可使用较简单的加权平均方法。</w:t>
      </w:r>
    </w:p>
    <w:p>
      <w:pPr>
        <w:pStyle w:val="171"/>
      </w:pPr>
      <w:r>
        <w:t>在估算工作量时，宜给出估算结果的范围而不是单一的值。例如，可采用基准比对方法，分别计算出工作量估算的合理范围与最有可能值。生产率基准数据中25百分位数、50百分位数和75百分位数的生产率数值</w:t>
      </w:r>
      <w:r>
        <w:rPr>
          <w:rFonts w:hint="eastAsia"/>
        </w:rPr>
        <w:t>见</w:t>
      </w:r>
      <w:r>
        <w:t>附录</w:t>
      </w:r>
      <w:r>
        <w:rPr>
          <w:rFonts w:hint="eastAsia"/>
        </w:rPr>
        <w:t xml:space="preserve">B。 </w:t>
      </w:r>
      <w:r>
        <w:t xml:space="preserve"> </w:t>
      </w:r>
    </w:p>
    <w:p>
      <w:pPr>
        <w:pStyle w:val="185"/>
        <w:rPr>
          <w:rFonts w:ascii="Times New Roman"/>
        </w:rPr>
      </w:pPr>
      <w:r>
        <w:rPr>
          <w:rFonts w:ascii="Times New Roman"/>
        </w:rPr>
        <w:t>假设基于基准数据建立的回归方程为公式（2）：</w:t>
      </w:r>
    </w:p>
    <w:p>
      <w:pPr>
        <w:pStyle w:val="117"/>
        <w:rPr>
          <w:rFonts w:ascii="Times New Roman" w:hAnsi="Times New Roman"/>
        </w:rPr>
      </w:pPr>
      <w:r>
        <w:rPr>
          <w:rFonts w:ascii="Times New Roman" w:hAnsi="Times New Roman"/>
        </w:rPr>
        <w:tab/>
      </w:r>
      <m:oMath>
        <m:r>
          <m:rPr/>
          <w:rPr>
            <w:rStyle w:val="242"/>
            <w:rFonts w:ascii="Cambria Math" w:hAnsi="Cambria Math" w:eastAsia="SimSun-ExtB"/>
          </w:rPr>
          <m:t>UE=C×S</m:t>
        </m:r>
      </m:oMath>
      <w:r>
        <w:rPr>
          <w:rFonts w:ascii="Times New Roman" w:hAnsi="Times New Roman" w:eastAsia="微软雅黑"/>
        </w:rPr>
        <w:tab/>
      </w:r>
      <w:r>
        <w:rPr>
          <w:rFonts w:ascii="Times New Roman" w:hAnsi="Times New Roman"/>
        </w:rPr>
        <w:t>（2）</w:t>
      </w:r>
    </w:p>
    <w:p>
      <w:pPr>
        <w:pStyle w:val="59"/>
        <w:ind w:firstLine="424" w:firstLineChars="236"/>
        <w:rPr>
          <w:rFonts w:ascii="Times New Roman" w:hAnsi="Times New Roman"/>
          <w:sz w:val="18"/>
          <w:szCs w:val="18"/>
        </w:rPr>
      </w:pPr>
      <w:r>
        <w:rPr>
          <w:rFonts w:ascii="Times New Roman" w:hAnsi="Times New Roman"/>
          <w:sz w:val="18"/>
          <w:szCs w:val="18"/>
        </w:rPr>
        <w:t>式中：</w:t>
      </w:r>
    </w:p>
    <w:p>
      <w:pPr>
        <w:pStyle w:val="241"/>
        <w:tabs>
          <w:tab w:val="left" w:pos="567"/>
        </w:tabs>
        <w:ind w:firstLine="424" w:firstLineChars="236"/>
        <w:rPr>
          <w:rFonts w:ascii="Times New Roman"/>
        </w:rPr>
      </w:pPr>
      <w:r>
        <w:rPr>
          <w:rFonts w:ascii="Times New Roman"/>
          <w:i/>
        </w:rPr>
        <w:t xml:space="preserve">UE </w:t>
      </w:r>
      <w:r>
        <w:rPr>
          <w:rFonts w:ascii="Times New Roman"/>
        </w:rPr>
        <w:t>——未调整工作量，单位为人时（ph）；</w:t>
      </w:r>
    </w:p>
    <w:p>
      <w:pPr>
        <w:pStyle w:val="241"/>
        <w:tabs>
          <w:tab w:val="left" w:pos="709"/>
        </w:tabs>
        <w:ind w:firstLine="424" w:firstLineChars="236"/>
        <w:rPr>
          <w:rFonts w:ascii="Times New Roman"/>
        </w:rPr>
      </w:pPr>
      <w:r>
        <w:rPr>
          <w:rFonts w:ascii="Times New Roman"/>
          <w:i/>
        </w:rPr>
        <w:t>C</w:t>
      </w:r>
      <w:r>
        <w:rPr>
          <w:rFonts w:ascii="Times New Roman"/>
        </w:rPr>
        <w:t xml:space="preserve"> </w:t>
      </w:r>
      <w:r>
        <w:rPr>
          <w:rFonts w:ascii="Times New Roman"/>
        </w:rPr>
        <w:tab/>
      </w:r>
      <w:r>
        <w:rPr>
          <w:rFonts w:ascii="Times New Roman"/>
        </w:rPr>
        <w:t>——生产率调整因子，单位为人时每功能点（ph/FP）或适配点（ph/AP）；</w:t>
      </w:r>
    </w:p>
    <w:p>
      <w:pPr>
        <w:pStyle w:val="241"/>
        <w:ind w:firstLine="424" w:firstLineChars="236"/>
        <w:rPr>
          <w:rFonts w:ascii="Times New Roman"/>
        </w:rPr>
      </w:pPr>
      <w:r>
        <w:rPr>
          <w:rFonts w:ascii="Times New Roman"/>
        </w:rPr>
        <w:t>假设根据相关性分析和经验确定调整后工作量计算见公式（3）：</w:t>
      </w:r>
    </w:p>
    <w:p>
      <w:pPr>
        <w:pStyle w:val="117"/>
        <w:rPr>
          <w:rFonts w:ascii="Times New Roman" w:hAnsi="Times New Roman"/>
        </w:rPr>
      </w:pPr>
      <w:r>
        <w:rPr>
          <w:rFonts w:ascii="Times New Roman" w:hAnsi="Times New Roman"/>
        </w:rPr>
        <w:tab/>
      </w:r>
      <m:oMath>
        <m:r>
          <m:rPr/>
          <w:rPr>
            <w:rStyle w:val="242"/>
            <w:rFonts w:ascii="Cambria Math" w:hAnsi="Cambria Math" w:eastAsia="SimSun-ExtB"/>
          </w:rPr>
          <m:t>AE=UE×A×IL×L×</m:t>
        </m:r>
        <m:sSup>
          <m:sSupPr>
            <m:ctrlPr>
              <w:rPr>
                <w:rStyle w:val="242"/>
                <w:rFonts w:ascii="Cambria Math" w:hAnsi="Cambria Math" w:eastAsia="SimSun-ExtB"/>
                <w:i/>
              </w:rPr>
            </m:ctrlPr>
          </m:sSupPr>
          <m:e>
            <m:r>
              <m:rPr/>
              <w:rPr>
                <w:rStyle w:val="242"/>
                <w:rFonts w:ascii="Cambria Math" w:hAnsi="Cambria Math" w:eastAsia="SimSun-ExtB"/>
              </w:rPr>
              <m:t>T</m:t>
            </m:r>
            <m:ctrlPr>
              <w:rPr>
                <w:rStyle w:val="242"/>
                <w:rFonts w:ascii="Cambria Math" w:hAnsi="Cambria Math" w:eastAsia="SimSun-ExtB"/>
                <w:i/>
              </w:rPr>
            </m:ctrlPr>
          </m:e>
          <m:sup>
            <m:ctrlPr>
              <w:rPr>
                <w:rStyle w:val="242"/>
                <w:rFonts w:ascii="Cambria Math" w:hAnsi="Cambria Math" w:eastAsia="SimSun-ExtB"/>
                <w:i/>
              </w:rPr>
            </m:ctrlPr>
          </m:sup>
        </m:sSup>
      </m:oMath>
      <w:r>
        <w:rPr>
          <w:rFonts w:ascii="Times New Roman" w:hAnsi="Times New Roman" w:eastAsia="微软雅黑"/>
        </w:rPr>
        <w:tab/>
      </w:r>
      <w:r>
        <w:rPr>
          <w:rFonts w:ascii="Times New Roman" w:hAnsi="Times New Roman"/>
        </w:rPr>
        <w:t>（3）</w:t>
      </w:r>
    </w:p>
    <w:p>
      <w:pPr>
        <w:pStyle w:val="59"/>
        <w:ind w:firstLine="424" w:firstLineChars="236"/>
        <w:rPr>
          <w:rFonts w:ascii="Times New Roman" w:hAnsi="Times New Roman"/>
          <w:sz w:val="18"/>
          <w:szCs w:val="18"/>
        </w:rPr>
      </w:pPr>
      <w:r>
        <w:rPr>
          <w:rFonts w:ascii="Times New Roman" w:hAnsi="Times New Roman"/>
          <w:sz w:val="18"/>
          <w:szCs w:val="18"/>
        </w:rPr>
        <w:t>式中：</w:t>
      </w:r>
    </w:p>
    <w:p>
      <w:pPr>
        <w:pStyle w:val="60"/>
        <w:ind w:firstLine="360"/>
        <w:rPr>
          <w:rStyle w:val="242"/>
          <w:rFonts w:ascii="Times New Roman"/>
          <w:sz w:val="18"/>
          <w:szCs w:val="18"/>
        </w:rPr>
      </w:pPr>
      <w:r>
        <w:rPr>
          <w:rStyle w:val="242"/>
          <w:rFonts w:ascii="Times New Roman"/>
          <w:i/>
          <w:sz w:val="18"/>
          <w:szCs w:val="18"/>
        </w:rPr>
        <w:t xml:space="preserve">AE </w:t>
      </w:r>
      <w:r>
        <w:rPr>
          <w:rStyle w:val="242"/>
          <w:rFonts w:ascii="Times New Roman"/>
          <w:sz w:val="18"/>
          <w:szCs w:val="18"/>
        </w:rPr>
        <w:t>——调整后工作量，单位为人时（ph）；</w:t>
      </w:r>
    </w:p>
    <w:p>
      <w:pPr>
        <w:pStyle w:val="60"/>
        <w:ind w:firstLine="360"/>
        <w:rPr>
          <w:rStyle w:val="242"/>
          <w:rFonts w:ascii="Times New Roman"/>
          <w:sz w:val="18"/>
          <w:szCs w:val="18"/>
        </w:rPr>
      </w:pPr>
      <w:r>
        <w:rPr>
          <w:rStyle w:val="242"/>
          <w:rFonts w:ascii="Times New Roman"/>
          <w:i/>
          <w:sz w:val="18"/>
          <w:szCs w:val="18"/>
        </w:rPr>
        <w:t xml:space="preserve">A  </w:t>
      </w:r>
      <w:r>
        <w:rPr>
          <w:rStyle w:val="242"/>
          <w:rFonts w:ascii="Times New Roman"/>
          <w:sz w:val="18"/>
          <w:szCs w:val="18"/>
        </w:rPr>
        <w:t>——应用领域调整因子，取值范围0.8～1.2；</w:t>
      </w:r>
    </w:p>
    <w:p>
      <w:pPr>
        <w:pStyle w:val="60"/>
        <w:ind w:firstLine="360"/>
        <w:rPr>
          <w:rStyle w:val="242"/>
          <w:rFonts w:ascii="Times New Roman"/>
          <w:sz w:val="18"/>
          <w:szCs w:val="18"/>
        </w:rPr>
      </w:pPr>
      <w:r>
        <w:rPr>
          <w:rStyle w:val="242"/>
          <w:rFonts w:ascii="Times New Roman"/>
          <w:i/>
          <w:sz w:val="18"/>
          <w:szCs w:val="18"/>
        </w:rPr>
        <w:t xml:space="preserve">IL </w:t>
      </w:r>
      <w:r>
        <w:rPr>
          <w:rStyle w:val="242"/>
          <w:rFonts w:ascii="Times New Roman"/>
          <w:sz w:val="18"/>
          <w:szCs w:val="18"/>
        </w:rPr>
        <w:t>——软件完整性级别，取值范围1.0～1.8；</w:t>
      </w:r>
    </w:p>
    <w:p>
      <w:pPr>
        <w:pStyle w:val="60"/>
        <w:ind w:firstLine="360"/>
        <w:rPr>
          <w:rStyle w:val="242"/>
          <w:rFonts w:ascii="Times New Roman"/>
          <w:sz w:val="18"/>
          <w:szCs w:val="18"/>
        </w:rPr>
      </w:pPr>
      <w:r>
        <w:rPr>
          <w:rStyle w:val="242"/>
          <w:rFonts w:ascii="Times New Roman"/>
          <w:sz w:val="18"/>
          <w:szCs w:val="18"/>
        </w:rPr>
        <w:t>（其中A级取1.6～1.8，B级取1.3～1.5，C级取1.1～1.2，D级取1.0，软件完整性级别划分见GB/T</w:t>
      </w:r>
      <w:r>
        <w:rPr>
          <w:rStyle w:val="242"/>
          <w:rFonts w:ascii="Times New Roman"/>
          <w:sz w:val="18"/>
          <w:szCs w:val="18"/>
          <w:vertAlign w:val="superscript"/>
        </w:rPr>
        <w:t xml:space="preserve"> </w:t>
      </w:r>
      <w:r>
        <w:rPr>
          <w:rStyle w:val="242"/>
          <w:rFonts w:ascii="Times New Roman"/>
          <w:sz w:val="18"/>
          <w:szCs w:val="18"/>
        </w:rPr>
        <w:t>18492）</w:t>
      </w:r>
    </w:p>
    <w:p>
      <w:pPr>
        <w:pStyle w:val="60"/>
        <w:ind w:firstLine="360"/>
        <w:rPr>
          <w:rStyle w:val="242"/>
          <w:rFonts w:ascii="Times New Roman"/>
          <w:sz w:val="18"/>
          <w:szCs w:val="18"/>
        </w:rPr>
      </w:pPr>
      <w:r>
        <w:rPr>
          <w:rStyle w:val="242"/>
          <w:rFonts w:ascii="Times New Roman"/>
          <w:i/>
          <w:sz w:val="18"/>
          <w:szCs w:val="18"/>
        </w:rPr>
        <w:t xml:space="preserve">L  </w:t>
      </w:r>
      <w:r>
        <w:rPr>
          <w:rStyle w:val="242"/>
          <w:rFonts w:ascii="Times New Roman"/>
          <w:sz w:val="18"/>
          <w:szCs w:val="18"/>
        </w:rPr>
        <w:t>——开发语言调整因子，取值范围0.8～1.2；</w:t>
      </w:r>
    </w:p>
    <w:p>
      <w:pPr>
        <w:pStyle w:val="60"/>
        <w:ind w:firstLine="360"/>
        <w:rPr>
          <w:rStyle w:val="242"/>
          <w:rFonts w:ascii="Times New Roman"/>
          <w:sz w:val="18"/>
          <w:szCs w:val="18"/>
        </w:rPr>
      </w:pPr>
      <w:r>
        <w:rPr>
          <w:rStyle w:val="242"/>
          <w:rFonts w:ascii="Times New Roman"/>
          <w:i/>
          <w:sz w:val="18"/>
          <w:szCs w:val="18"/>
        </w:rPr>
        <w:t xml:space="preserve">T  </w:t>
      </w:r>
      <w:r>
        <w:rPr>
          <w:rStyle w:val="242"/>
          <w:rFonts w:ascii="Times New Roman"/>
          <w:sz w:val="18"/>
          <w:szCs w:val="18"/>
        </w:rPr>
        <w:t>——最大团队规模调整因子，取值范围0.8～1.2。</w:t>
      </w:r>
    </w:p>
    <w:p>
      <w:pPr>
        <w:pStyle w:val="60"/>
        <w:ind w:firstLine="360"/>
        <w:rPr>
          <w:rStyle w:val="242"/>
          <w:rFonts w:ascii="Times New Roman"/>
          <w:sz w:val="18"/>
          <w:szCs w:val="18"/>
        </w:rPr>
      </w:pPr>
      <w:r>
        <w:rPr>
          <w:rStyle w:val="242"/>
          <w:rFonts w:ascii="Times New Roman"/>
          <w:sz w:val="18"/>
          <w:szCs w:val="18"/>
        </w:rPr>
        <w:t>假设待估算项目的规模为1000</w:t>
      </w:r>
      <w:r>
        <w:rPr>
          <w:rStyle w:val="242"/>
          <w:rFonts w:ascii="Times New Roman"/>
          <w:sz w:val="18"/>
          <w:szCs w:val="18"/>
          <w:vertAlign w:val="subscript"/>
        </w:rPr>
        <w:t xml:space="preserve"> </w:t>
      </w:r>
      <w:r>
        <w:rPr>
          <w:rStyle w:val="242"/>
          <w:rFonts w:ascii="Times New Roman"/>
          <w:sz w:val="18"/>
          <w:szCs w:val="18"/>
        </w:rPr>
        <w:t>FP、生产率25百分位数、50百分位数和75百分位数分别为8</w:t>
      </w:r>
      <w:r>
        <w:rPr>
          <w:rStyle w:val="242"/>
          <w:rFonts w:ascii="Times New Roman"/>
          <w:sz w:val="18"/>
          <w:szCs w:val="18"/>
          <w:vertAlign w:val="subscript"/>
        </w:rPr>
        <w:t xml:space="preserve"> </w:t>
      </w:r>
      <w:r>
        <w:rPr>
          <w:rStyle w:val="242"/>
          <w:rFonts w:ascii="Times New Roman"/>
          <w:sz w:val="18"/>
          <w:szCs w:val="18"/>
        </w:rPr>
        <w:t>ph/FP、10</w:t>
      </w:r>
      <w:r>
        <w:rPr>
          <w:rStyle w:val="242"/>
          <w:rFonts w:ascii="Times New Roman"/>
          <w:sz w:val="18"/>
          <w:szCs w:val="18"/>
          <w:vertAlign w:val="subscript"/>
        </w:rPr>
        <w:t xml:space="preserve"> </w:t>
      </w:r>
      <w:r>
        <w:rPr>
          <w:rStyle w:val="242"/>
          <w:rFonts w:ascii="Times New Roman"/>
          <w:sz w:val="18"/>
          <w:szCs w:val="18"/>
        </w:rPr>
        <w:t>ph/FP和14</w:t>
      </w:r>
      <w:r>
        <w:rPr>
          <w:rStyle w:val="242"/>
          <w:rFonts w:ascii="Times New Roman"/>
          <w:sz w:val="18"/>
          <w:szCs w:val="18"/>
          <w:vertAlign w:val="subscript"/>
        </w:rPr>
        <w:t xml:space="preserve"> </w:t>
      </w:r>
      <w:r>
        <w:rPr>
          <w:rStyle w:val="242"/>
          <w:rFonts w:ascii="Times New Roman"/>
          <w:sz w:val="18"/>
          <w:szCs w:val="18"/>
        </w:rPr>
        <w:t>ph/FP，则计算出未调整工作量合理范围介于4009.50</w:t>
      </w:r>
      <w:r>
        <w:rPr>
          <w:rStyle w:val="242"/>
          <w:rFonts w:ascii="Times New Roman"/>
          <w:sz w:val="18"/>
          <w:szCs w:val="18"/>
          <w:vertAlign w:val="subscript"/>
        </w:rPr>
        <w:t xml:space="preserve"> </w:t>
      </w:r>
      <w:r>
        <w:rPr>
          <w:rStyle w:val="242"/>
          <w:rFonts w:ascii="Times New Roman"/>
          <w:sz w:val="18"/>
          <w:szCs w:val="18"/>
        </w:rPr>
        <w:t>ph与7016.62</w:t>
      </w:r>
      <w:r>
        <w:rPr>
          <w:rStyle w:val="242"/>
          <w:rFonts w:ascii="Times New Roman"/>
          <w:sz w:val="18"/>
          <w:szCs w:val="18"/>
          <w:vertAlign w:val="subscript"/>
        </w:rPr>
        <w:t xml:space="preserve"> </w:t>
      </w:r>
      <w:r>
        <w:rPr>
          <w:rStyle w:val="242"/>
          <w:rFonts w:ascii="Times New Roman"/>
          <w:sz w:val="18"/>
          <w:szCs w:val="18"/>
        </w:rPr>
        <w:t>ph之间，未调整工作量最有可能值为5011.87</w:t>
      </w:r>
      <w:r>
        <w:rPr>
          <w:rStyle w:val="242"/>
          <w:rFonts w:ascii="Times New Roman"/>
          <w:sz w:val="18"/>
          <w:szCs w:val="18"/>
          <w:vertAlign w:val="subscript"/>
        </w:rPr>
        <w:t xml:space="preserve"> </w:t>
      </w:r>
      <w:r>
        <w:rPr>
          <w:rStyle w:val="242"/>
          <w:rFonts w:ascii="Times New Roman"/>
          <w:sz w:val="18"/>
          <w:szCs w:val="18"/>
        </w:rPr>
        <w:t>ph（取生产率数值50百分位数计算得出）。</w:t>
      </w:r>
    </w:p>
    <w:p>
      <w:pPr>
        <w:pStyle w:val="60"/>
        <w:ind w:firstLine="360"/>
        <w:rPr>
          <w:rStyle w:val="242"/>
          <w:rFonts w:ascii="Times New Roman"/>
          <w:sz w:val="18"/>
          <w:szCs w:val="18"/>
        </w:rPr>
      </w:pPr>
      <w:r>
        <w:rPr>
          <w:rStyle w:val="242"/>
          <w:rFonts w:ascii="Times New Roman"/>
          <w:sz w:val="18"/>
          <w:szCs w:val="18"/>
        </w:rPr>
        <w:t>假设根据参数表确定应用领域调整因子取值为1，软件完整性级别取值为1，开发语言调整因子取值为0.8，最大团队规模调整因子取值为1.1，则计算出调整后工作量合理范围介于3528.36</w:t>
      </w:r>
      <w:r>
        <w:rPr>
          <w:rStyle w:val="242"/>
          <w:rFonts w:ascii="Times New Roman"/>
          <w:sz w:val="18"/>
          <w:szCs w:val="18"/>
          <w:vertAlign w:val="subscript"/>
        </w:rPr>
        <w:t xml:space="preserve"> </w:t>
      </w:r>
      <w:r>
        <w:rPr>
          <w:rStyle w:val="242"/>
          <w:rFonts w:ascii="Times New Roman"/>
          <w:sz w:val="18"/>
          <w:szCs w:val="18"/>
        </w:rPr>
        <w:t>ph与6174.63</w:t>
      </w:r>
      <w:r>
        <w:rPr>
          <w:rStyle w:val="242"/>
          <w:rFonts w:ascii="Times New Roman"/>
          <w:sz w:val="18"/>
          <w:szCs w:val="18"/>
          <w:vertAlign w:val="subscript"/>
        </w:rPr>
        <w:t xml:space="preserve"> </w:t>
      </w:r>
      <w:r>
        <w:rPr>
          <w:rStyle w:val="242"/>
          <w:rFonts w:ascii="Times New Roman"/>
          <w:sz w:val="18"/>
          <w:szCs w:val="18"/>
        </w:rPr>
        <w:t>ph之间，调整后工作量最大可能值为4410.45</w:t>
      </w:r>
      <w:r>
        <w:rPr>
          <w:rStyle w:val="242"/>
          <w:rFonts w:ascii="Times New Roman"/>
          <w:sz w:val="18"/>
          <w:szCs w:val="18"/>
          <w:vertAlign w:val="subscript"/>
        </w:rPr>
        <w:t xml:space="preserve"> </w:t>
      </w:r>
      <w:r>
        <w:rPr>
          <w:rStyle w:val="242"/>
          <w:rFonts w:ascii="Times New Roman"/>
          <w:sz w:val="18"/>
          <w:szCs w:val="18"/>
        </w:rPr>
        <w:t>ph。</w:t>
      </w:r>
    </w:p>
    <w:p>
      <w:pPr>
        <w:pStyle w:val="60"/>
        <w:ind w:firstLine="360"/>
        <w:rPr>
          <w:rFonts w:ascii="Times New Roman"/>
          <w:sz w:val="18"/>
          <w:szCs w:val="18"/>
        </w:rPr>
      </w:pPr>
      <w:r>
        <w:rPr>
          <w:rFonts w:ascii="Times New Roman"/>
          <w:sz w:val="18"/>
          <w:szCs w:val="18"/>
        </w:rPr>
        <w:t>因项目变化导致需要重新进行工作量估算时，应根据该变化的影响范围对工作量估算方法及估算结果进行合理调整。</w:t>
      </w:r>
    </w:p>
    <w:p>
      <w:pPr>
        <w:pStyle w:val="69"/>
        <w:spacing w:before="156" w:after="156"/>
        <w:rPr>
          <w:rFonts w:ascii="Times New Roman"/>
        </w:rPr>
      </w:pPr>
      <w:bookmarkStart w:id="208" w:name="_Toc164340102"/>
      <w:bookmarkStart w:id="209" w:name="_Toc185238819"/>
      <w:bookmarkStart w:id="210" w:name="_Toc147926319"/>
      <w:bookmarkStart w:id="211" w:name="_Toc345947431"/>
      <w:bookmarkStart w:id="212" w:name="_Toc501891527"/>
      <w:bookmarkStart w:id="213" w:name="_Toc504576677"/>
      <w:r>
        <w:rPr>
          <w:rFonts w:ascii="Times New Roman"/>
        </w:rPr>
        <w:t>成本估算</w:t>
      </w:r>
      <w:bookmarkEnd w:id="208"/>
      <w:bookmarkEnd w:id="209"/>
      <w:bookmarkEnd w:id="210"/>
      <w:bookmarkEnd w:id="211"/>
      <w:bookmarkEnd w:id="212"/>
      <w:bookmarkEnd w:id="213"/>
    </w:p>
    <w:p>
      <w:pPr>
        <w:pStyle w:val="98"/>
        <w:spacing w:before="156" w:after="156"/>
        <w:rPr>
          <w:rFonts w:ascii="Times New Roman"/>
        </w:rPr>
      </w:pPr>
      <w:r>
        <w:rPr>
          <w:rFonts w:ascii="Times New Roman"/>
        </w:rPr>
        <w:t>概述</w:t>
      </w:r>
    </w:p>
    <w:p>
      <w:pPr>
        <w:pStyle w:val="60"/>
        <w:ind w:firstLine="420"/>
        <w:rPr>
          <w:rFonts w:ascii="Times New Roman"/>
        </w:rPr>
      </w:pPr>
      <w:r>
        <w:rPr>
          <w:rFonts w:ascii="Times New Roman"/>
        </w:rPr>
        <w:t>按照直接人力成本、直接非人力成本、间接人力成本、间接非人力成本分别进行估算。考虑估算的时机不同，应用软件适配改造的需求详细程度不同，也可根据需求的详细程度采用比例法直接进行成本估算，估算方法见附录</w:t>
      </w:r>
      <w:r>
        <w:rPr>
          <w:rFonts w:hint="eastAsia" w:ascii="Times New Roman"/>
        </w:rPr>
        <w:t>C。</w:t>
      </w:r>
      <w:r>
        <w:rPr>
          <w:rFonts w:ascii="Times New Roman"/>
        </w:rPr>
        <w:t xml:space="preserve"> </w:t>
      </w:r>
    </w:p>
    <w:p>
      <w:pPr>
        <w:pStyle w:val="98"/>
        <w:spacing w:before="156" w:after="156"/>
        <w:rPr>
          <w:rFonts w:ascii="Times New Roman"/>
        </w:rPr>
      </w:pPr>
      <w:r>
        <w:rPr>
          <w:rFonts w:ascii="Times New Roman"/>
        </w:rPr>
        <w:t>直接人力成本估算</w:t>
      </w:r>
    </w:p>
    <w:p>
      <w:pPr>
        <w:pStyle w:val="178"/>
        <w:numPr>
          <w:ilvl w:val="0"/>
          <w:numId w:val="0"/>
        </w:numPr>
        <w:ind w:left="425"/>
        <w:rPr>
          <w:rFonts w:ascii="Times New Roman"/>
        </w:rPr>
      </w:pPr>
      <w:r>
        <w:rPr>
          <w:rFonts w:ascii="Times New Roman"/>
        </w:rPr>
        <w:t>根据工作量估算结果和项目人员直接人力成本费率估算直接人力成本。</w:t>
      </w:r>
    </w:p>
    <w:p>
      <w:pPr>
        <w:pStyle w:val="60"/>
        <w:ind w:firstLine="420"/>
        <w:rPr>
          <w:rFonts w:ascii="Times New Roman"/>
        </w:rPr>
      </w:pPr>
      <w:r>
        <w:rPr>
          <w:rFonts w:ascii="Times New Roman"/>
        </w:rPr>
        <w:t>直接人力成本的计算见公式（4）：</w:t>
      </w:r>
    </w:p>
    <w:p>
      <w:pPr>
        <w:pStyle w:val="117"/>
        <w:rPr>
          <w:rFonts w:ascii="Times New Roman" w:hAnsi="Times New Roman" w:eastAsia="微软雅黑"/>
        </w:rPr>
      </w:pPr>
      <w:r>
        <w:rPr>
          <w:rFonts w:ascii="Times New Roman" w:hAnsi="Times New Roman"/>
        </w:rPr>
        <w:tab/>
      </w:r>
      <w:r>
        <w:rPr>
          <w:rStyle w:val="242"/>
          <w:rFonts w:ascii="Times New Roman" w:hAnsi="Times New Roman"/>
        </w:rPr>
        <w:t xml:space="preserve">     </w:t>
      </w:r>
      <m:oMath>
        <m:r>
          <m:rPr/>
          <w:rPr>
            <w:rStyle w:val="242"/>
            <w:rFonts w:ascii="Cambria Math" w:hAnsi="Cambria Math" w:eastAsia="SimSun-ExtB"/>
          </w:rPr>
          <m:t>DHC=E ×IF</m:t>
        </m:r>
      </m:oMath>
      <w:r>
        <w:rPr>
          <w:rFonts w:ascii="Times New Roman" w:hAnsi="Times New Roman" w:eastAsia="微软雅黑"/>
        </w:rPr>
        <w:tab/>
      </w:r>
      <w:r>
        <w:rPr>
          <w:rFonts w:ascii="Times New Roman" w:hAnsi="Times New Roman"/>
        </w:rPr>
        <w:t>（4）</w:t>
      </w:r>
    </w:p>
    <w:p>
      <w:pPr>
        <w:pStyle w:val="59"/>
        <w:ind w:firstLine="420"/>
        <w:rPr>
          <w:rFonts w:ascii="Times New Roman" w:hAnsi="Times New Roman"/>
        </w:rPr>
      </w:pPr>
      <w:r>
        <w:rPr>
          <w:rFonts w:ascii="Times New Roman" w:hAnsi="Times New Roman"/>
        </w:rPr>
        <w:t>式中：</w:t>
      </w:r>
    </w:p>
    <w:p>
      <w:pPr>
        <w:pStyle w:val="235"/>
        <w:tabs>
          <w:tab w:val="left" w:pos="993"/>
        </w:tabs>
        <w:rPr>
          <w:rFonts w:ascii="Times New Roman"/>
        </w:rPr>
      </w:pPr>
      <w:r>
        <w:rPr>
          <w:rFonts w:ascii="Times New Roman"/>
          <w:i/>
        </w:rPr>
        <w:t xml:space="preserve">DHC </w:t>
      </w:r>
      <w:r>
        <w:rPr>
          <w:rFonts w:ascii="Times New Roman"/>
        </w:rPr>
        <w:t>——直接人力成本，单位为元；</w:t>
      </w:r>
    </w:p>
    <w:p>
      <w:pPr>
        <w:pStyle w:val="235"/>
        <w:tabs>
          <w:tab w:val="left" w:pos="851"/>
        </w:tabs>
        <w:rPr>
          <w:rFonts w:ascii="Times New Roman"/>
        </w:rPr>
      </w:pPr>
      <w:r>
        <w:rPr>
          <w:rFonts w:ascii="Times New Roman"/>
          <w:i/>
        </w:rPr>
        <w:t>E</w:t>
      </w:r>
      <w:r>
        <w:rPr>
          <w:rFonts w:ascii="Times New Roman"/>
        </w:rPr>
        <w:tab/>
      </w:r>
      <w:r>
        <w:rPr>
          <w:rFonts w:ascii="Times New Roman"/>
        </w:rPr>
        <w:t>——直接人员工作量，单位为人月；</w:t>
      </w:r>
    </w:p>
    <w:p>
      <w:pPr>
        <w:pStyle w:val="235"/>
        <w:tabs>
          <w:tab w:val="left" w:pos="851"/>
        </w:tabs>
        <w:rPr>
          <w:rFonts w:ascii="Times New Roman"/>
        </w:rPr>
      </w:pPr>
      <w:r>
        <w:rPr>
          <w:rFonts w:ascii="Times New Roman"/>
          <w:i/>
        </w:rPr>
        <w:t>IF</w:t>
      </w:r>
      <w:r>
        <w:rPr>
          <w:rFonts w:ascii="Times New Roman"/>
          <w:i/>
        </w:rPr>
        <w:tab/>
      </w:r>
      <w:r>
        <w:rPr>
          <w:rFonts w:ascii="Times New Roman"/>
        </w:rPr>
        <w:t>——直接人力成本费率，单位为元/人月。</w:t>
      </w:r>
    </w:p>
    <w:p>
      <w:pPr>
        <w:pStyle w:val="235"/>
        <w:rPr>
          <w:rFonts w:ascii="Times New Roman"/>
        </w:rPr>
      </w:pPr>
      <w:r>
        <w:rPr>
          <w:rFonts w:ascii="Times New Roman"/>
        </w:rPr>
        <w:t>在估算项目直接人力成本费率时，考虑不同地域人员成本的差异，也可参照同类项目的直接人力成本费率数据或行业基准。</w:t>
      </w:r>
    </w:p>
    <w:p>
      <w:pPr>
        <w:pStyle w:val="98"/>
        <w:spacing w:before="156" w:after="156"/>
        <w:rPr>
          <w:rFonts w:ascii="Times New Roman"/>
        </w:rPr>
      </w:pPr>
      <w:r>
        <w:rPr>
          <w:rFonts w:ascii="Times New Roman"/>
        </w:rPr>
        <w:t>间接人力成本估算</w:t>
      </w:r>
    </w:p>
    <w:p>
      <w:pPr>
        <w:pStyle w:val="60"/>
        <w:ind w:firstLine="420"/>
        <w:rPr>
          <w:rFonts w:ascii="Times New Roman"/>
        </w:rPr>
      </w:pPr>
      <w:r>
        <w:rPr>
          <w:rFonts w:ascii="Times New Roman"/>
        </w:rPr>
        <w:t>按照第5章的要求分项估算间接人力成本。间接人力成本宜按照工作量比例进行分摊。</w:t>
      </w:r>
    </w:p>
    <w:p>
      <w:pPr>
        <w:pStyle w:val="185"/>
        <w:rPr>
          <w:rFonts w:ascii="Times New Roman"/>
        </w:rPr>
      </w:pPr>
      <w:r>
        <w:rPr>
          <w:rFonts w:ascii="Times New Roman"/>
        </w:rPr>
        <w:t>质量保证部门的质量保证人员甲负责组织级质量保证工作和</w:t>
      </w:r>
      <w:r>
        <w:rPr>
          <w:rFonts w:ascii="Times New Roman"/>
          <w:kern w:val="2"/>
        </w:rPr>
        <w:t>3</w:t>
      </w:r>
      <w:r>
        <w:rPr>
          <w:rFonts w:ascii="Times New Roman"/>
        </w:rPr>
        <w:t>个项目（A、B、C）的项目级质量保证工作。其中，用于项目A、B、C的工作量各占总工作量的1/4，用于组织级质量保证工作和其他工作的工作量占其总工作量的1/4；同时，项目A的开发总工作量占该组织所有开发项目总工作量的1/3，则质量保证人员甲的人力资源费用中，1/4计入项目A的直接人力成本，1/12（占质量保证工程师甲1/4的组织级质量保证工作和其他工作中，只有1/3计入项目A的成本）计入项目A的间接人力成本。</w:t>
      </w:r>
    </w:p>
    <w:p>
      <w:pPr>
        <w:pStyle w:val="98"/>
        <w:spacing w:before="156" w:after="156"/>
        <w:rPr>
          <w:rFonts w:ascii="Times New Roman"/>
        </w:rPr>
      </w:pPr>
      <w:r>
        <w:rPr>
          <w:rFonts w:ascii="Times New Roman"/>
        </w:rPr>
        <w:t>直接非人力成本估算</w:t>
      </w:r>
    </w:p>
    <w:p>
      <w:pPr>
        <w:pStyle w:val="60"/>
        <w:ind w:firstLine="420"/>
        <w:rPr>
          <w:rFonts w:ascii="Times New Roman"/>
        </w:rPr>
      </w:pPr>
      <w:r>
        <w:rPr>
          <w:rFonts w:ascii="Times New Roman"/>
        </w:rPr>
        <w:t>按照第5章的要求分项估算直接非人力成本，也可依据基准数据或经验估算。</w:t>
      </w:r>
    </w:p>
    <w:p>
      <w:pPr>
        <w:pStyle w:val="187"/>
        <w:rPr>
          <w:rFonts w:ascii="Times New Roman"/>
        </w:rPr>
      </w:pPr>
      <w:r>
        <w:rPr>
          <w:rFonts w:ascii="Times New Roman"/>
        </w:rPr>
        <w:t>项目成员因项目加班而产生的餐费计入直接非人力成本中的办公费，而项目成员的工作午餐费计入直接人力成本。</w:t>
      </w:r>
    </w:p>
    <w:p>
      <w:pPr>
        <w:pStyle w:val="187"/>
        <w:rPr>
          <w:rFonts w:ascii="Times New Roman"/>
        </w:rPr>
      </w:pPr>
      <w:r>
        <w:rPr>
          <w:rFonts w:ascii="Times New Roman"/>
        </w:rPr>
        <w:t>项目组封闭开发租用会议室而产生的费用计入直接非人力成本中的办公费，而开发部例会租用会议室产生的费用按照间接非人力成本进行分摊。</w:t>
      </w:r>
    </w:p>
    <w:p>
      <w:pPr>
        <w:pStyle w:val="187"/>
        <w:rPr>
          <w:rFonts w:ascii="Times New Roman"/>
        </w:rPr>
      </w:pPr>
      <w:r>
        <w:rPr>
          <w:rFonts w:ascii="Times New Roman"/>
        </w:rPr>
        <w:t>为项目采购专用测试软件的成本计入直接非人力成本中的采购费，而日常办公类软件的成本按照间接非人力成本进行分摊。</w:t>
      </w:r>
    </w:p>
    <w:p>
      <w:pPr>
        <w:pStyle w:val="98"/>
        <w:spacing w:before="156" w:after="156"/>
        <w:rPr>
          <w:rFonts w:ascii="Times New Roman"/>
        </w:rPr>
      </w:pPr>
      <w:r>
        <w:rPr>
          <w:rFonts w:ascii="Times New Roman"/>
        </w:rPr>
        <w:t>间接非人力成本估算</w:t>
      </w:r>
    </w:p>
    <w:p>
      <w:pPr>
        <w:pStyle w:val="60"/>
        <w:ind w:firstLine="420"/>
        <w:rPr>
          <w:rFonts w:ascii="Times New Roman"/>
        </w:rPr>
      </w:pPr>
      <w:r>
        <w:rPr>
          <w:rFonts w:ascii="Times New Roman"/>
        </w:rPr>
        <w:t>根据项目情况，按照第5章的要求分项估算间接非人力成本。间接非人力成本宜按照工作量比例进行分摊。</w:t>
      </w:r>
    </w:p>
    <w:p>
      <w:pPr>
        <w:pStyle w:val="185"/>
        <w:rPr>
          <w:rFonts w:ascii="Times New Roman"/>
        </w:rPr>
      </w:pPr>
      <w:r>
        <w:rPr>
          <w:rFonts w:ascii="Times New Roman"/>
        </w:rPr>
        <w:t>某公司有员工200人，1年的房屋租赁费为人民币120万元，则每人每月的房租分摊为500元，如果项目A的总工作量为100人月，则分摊到项目A的房屋租赁费为人民币5万元（即100人月×500元/人月）。</w:t>
      </w:r>
    </w:p>
    <w:p>
      <w:pPr>
        <w:pStyle w:val="69"/>
        <w:spacing w:before="156" w:after="156"/>
        <w:rPr>
          <w:rFonts w:ascii="Times New Roman"/>
        </w:rPr>
      </w:pPr>
      <w:bookmarkStart w:id="214" w:name="_Toc504576678"/>
      <w:r>
        <w:rPr>
          <w:rFonts w:ascii="Times New Roman"/>
        </w:rPr>
        <w:t>确定软件适配改造成本</w:t>
      </w:r>
      <w:bookmarkEnd w:id="214"/>
    </w:p>
    <w:p>
      <w:pPr>
        <w:pStyle w:val="60"/>
        <w:ind w:firstLine="420"/>
        <w:rPr>
          <w:rFonts w:ascii="Times New Roman"/>
        </w:rPr>
      </w:pPr>
      <w:r>
        <w:rPr>
          <w:rFonts w:ascii="Times New Roman"/>
        </w:rPr>
        <w:t>软件适配改造成本的计算公式：</w:t>
      </w:r>
    </w:p>
    <w:p>
      <w:pPr>
        <w:pStyle w:val="117"/>
        <w:rPr>
          <w:rStyle w:val="242"/>
          <w:rFonts w:ascii="Times New Roman" w:hAnsi="Times New Roman"/>
          <w:position w:val="-6"/>
        </w:rPr>
      </w:pPr>
      <w:r>
        <w:rPr>
          <w:rStyle w:val="242"/>
          <w:rFonts w:ascii="Times New Roman" w:hAnsi="Times New Roman"/>
          <w:position w:val="-6"/>
        </w:rPr>
        <w:tab/>
      </w:r>
      <w:r>
        <w:rPr>
          <w:rFonts w:ascii="Times New Roman" w:hAnsi="Times New Roman" w:eastAsia="SimSun-ExtB"/>
          <w:i/>
        </w:rPr>
        <w:t>SADC=DHC+DNC+IHC+INC</w:t>
      </w:r>
      <w:r>
        <w:rPr>
          <w:rStyle w:val="242"/>
          <w:rFonts w:ascii="Times New Roman" w:hAnsi="Times New Roman" w:eastAsia="微软雅黑"/>
          <w:position w:val="-6"/>
        </w:rPr>
        <w:tab/>
      </w:r>
      <w:r>
        <w:rPr>
          <w:rStyle w:val="242"/>
          <w:rFonts w:ascii="Times New Roman" w:hAnsi="Times New Roman"/>
          <w:position w:val="-6"/>
        </w:rPr>
        <w:t>（5）</w:t>
      </w:r>
    </w:p>
    <w:p>
      <w:pPr>
        <w:pStyle w:val="59"/>
        <w:ind w:firstLine="420"/>
        <w:rPr>
          <w:rFonts w:ascii="Times New Roman" w:hAnsi="Times New Roman"/>
        </w:rPr>
      </w:pPr>
      <w:r>
        <w:rPr>
          <w:rFonts w:ascii="Times New Roman" w:hAnsi="Times New Roman"/>
        </w:rPr>
        <w:t>式中：</w:t>
      </w:r>
    </w:p>
    <w:p>
      <w:pPr>
        <w:pStyle w:val="60"/>
        <w:ind w:firstLine="420"/>
        <w:rPr>
          <w:rFonts w:ascii="Times New Roman"/>
        </w:rPr>
      </w:pPr>
      <w:r>
        <w:rPr>
          <w:rFonts w:ascii="Times New Roman"/>
          <w:i/>
        </w:rPr>
        <w:t xml:space="preserve">SADC </w:t>
      </w:r>
      <w:r>
        <w:rPr>
          <w:rFonts w:ascii="Times New Roman"/>
        </w:rPr>
        <w:t>——软件适配改造成本，单位为元；</w:t>
      </w:r>
    </w:p>
    <w:p>
      <w:pPr>
        <w:pStyle w:val="60"/>
        <w:ind w:firstLine="420"/>
        <w:rPr>
          <w:rFonts w:ascii="Times New Roman"/>
        </w:rPr>
      </w:pPr>
      <w:r>
        <w:rPr>
          <w:rFonts w:ascii="Times New Roman"/>
          <w:i/>
        </w:rPr>
        <w:t xml:space="preserve">DNC </w:t>
      </w:r>
      <w:r>
        <w:rPr>
          <w:rFonts w:ascii="Times New Roman"/>
          <w:iCs/>
          <w:vertAlign w:val="subscript"/>
        </w:rPr>
        <w:t xml:space="preserve"> </w:t>
      </w:r>
      <w:r>
        <w:rPr>
          <w:rFonts w:ascii="Times New Roman"/>
        </w:rPr>
        <w:t>——直接非人力成本，单位为元；</w:t>
      </w:r>
    </w:p>
    <w:p>
      <w:pPr>
        <w:pStyle w:val="60"/>
        <w:ind w:firstLine="420"/>
        <w:rPr>
          <w:rFonts w:ascii="Times New Roman"/>
        </w:rPr>
      </w:pPr>
      <w:r>
        <w:rPr>
          <w:rFonts w:ascii="Times New Roman"/>
          <w:i/>
        </w:rPr>
        <w:t>IHC</w:t>
      </w:r>
      <w:r>
        <w:rPr>
          <w:rFonts w:ascii="Times New Roman"/>
          <w:i/>
          <w:vertAlign w:val="superscript"/>
        </w:rPr>
        <w:t xml:space="preserve">   </w:t>
      </w:r>
      <w:r>
        <w:rPr>
          <w:rFonts w:ascii="Times New Roman"/>
        </w:rPr>
        <w:t>——间接人力成本，单位为元；</w:t>
      </w:r>
    </w:p>
    <w:p>
      <w:pPr>
        <w:pStyle w:val="60"/>
        <w:ind w:firstLine="420"/>
        <w:rPr>
          <w:rFonts w:ascii="Times New Roman"/>
        </w:rPr>
      </w:pPr>
      <w:r>
        <w:rPr>
          <w:rFonts w:ascii="Times New Roman"/>
          <w:i/>
        </w:rPr>
        <w:t>INC</w:t>
      </w:r>
      <w:r>
        <w:rPr>
          <w:rFonts w:ascii="Times New Roman"/>
          <w:i/>
          <w:vertAlign w:val="superscript"/>
        </w:rPr>
        <w:t xml:space="preserve">  </w:t>
      </w:r>
      <w:r>
        <w:rPr>
          <w:rFonts w:ascii="Times New Roman"/>
        </w:rPr>
        <w:t>——间接非人力成本，单位为元。</w:t>
      </w:r>
    </w:p>
    <w:p>
      <w:pPr>
        <w:pStyle w:val="60"/>
        <w:ind w:firstLine="420"/>
        <w:rPr>
          <w:rFonts w:ascii="Times New Roman"/>
        </w:rPr>
      </w:pPr>
      <w:r>
        <w:rPr>
          <w:rFonts w:ascii="Times New Roman"/>
        </w:rPr>
        <w:t>在估算软件适配改造成本时，可根据直接人力成本费率估算人力成本费率（即每人月直接人力成本与分摊到每人月的间接成本之和），见公式（6）。</w:t>
      </w:r>
    </w:p>
    <w:p>
      <w:pPr>
        <w:pStyle w:val="117"/>
        <w:rPr>
          <w:rFonts w:ascii="Times New Roman" w:hAnsi="Times New Roman"/>
        </w:rPr>
      </w:pPr>
      <w:r>
        <w:rPr>
          <w:rFonts w:ascii="Times New Roman" w:hAnsi="Times New Roman"/>
        </w:rPr>
        <w:tab/>
      </w:r>
      <m:oMath>
        <m:r>
          <m:rPr/>
          <w:rPr>
            <w:rFonts w:ascii="Cambria Math" w:hAnsi="Cambria Math" w:eastAsia="SimSun-ExtB"/>
          </w:rPr>
          <m:t>F=IF×</m:t>
        </m:r>
        <m:r>
          <m:rPr/>
          <w:rPr>
            <w:rFonts w:hint="eastAsia" w:ascii="微软雅黑" w:hAnsi="微软雅黑" w:eastAsia="微软雅黑" w:cs="微软雅黑"/>
          </w:rPr>
          <m:t>（</m:t>
        </m:r>
        <m:r>
          <m:rPr/>
          <w:rPr>
            <w:rFonts w:ascii="Cambria Math" w:hAnsi="Cambria Math" w:eastAsia="SimSun-ExtB"/>
          </w:rPr>
          <m:t>1+DP</m:t>
        </m:r>
        <m:r>
          <m:rPr/>
          <w:rPr>
            <w:rFonts w:hint="eastAsia" w:ascii="微软雅黑" w:hAnsi="微软雅黑" w:eastAsia="微软雅黑" w:cs="微软雅黑"/>
          </w:rPr>
          <m:t>）</m:t>
        </m:r>
      </m:oMath>
      <w:r>
        <w:rPr>
          <w:rFonts w:ascii="Times New Roman" w:hAnsi="Times New Roman" w:eastAsia="微软雅黑"/>
        </w:rPr>
        <w:tab/>
      </w:r>
      <w:r>
        <w:rPr>
          <w:rFonts w:ascii="Times New Roman" w:hAnsi="Times New Roman"/>
        </w:rPr>
        <w:t>（6）</w:t>
      </w:r>
    </w:p>
    <w:p>
      <w:pPr>
        <w:pStyle w:val="59"/>
        <w:ind w:firstLine="420"/>
        <w:rPr>
          <w:rFonts w:ascii="Times New Roman" w:hAnsi="Times New Roman"/>
        </w:rPr>
      </w:pPr>
      <w:r>
        <w:rPr>
          <w:rFonts w:ascii="Times New Roman" w:hAnsi="Times New Roman"/>
        </w:rPr>
        <w:t>式中：</w:t>
      </w:r>
    </w:p>
    <w:p>
      <w:pPr>
        <w:pStyle w:val="60"/>
        <w:ind w:firstLine="420"/>
        <w:rPr>
          <w:rFonts w:ascii="Times New Roman"/>
        </w:rPr>
      </w:pPr>
      <w:r>
        <w:rPr>
          <w:rFonts w:ascii="Times New Roman"/>
          <w:i/>
        </w:rPr>
        <w:t>F</w:t>
      </w:r>
      <w:r>
        <w:rPr>
          <w:rFonts w:ascii="Times New Roman"/>
          <w:i/>
          <w:vertAlign w:val="superscript"/>
        </w:rPr>
        <w:t xml:space="preserve"> </w:t>
      </w:r>
      <w:r>
        <w:rPr>
          <w:rFonts w:ascii="Times New Roman"/>
          <w:vertAlign w:val="superscript"/>
        </w:rPr>
        <w:t xml:space="preserve"> </w:t>
      </w:r>
      <w:r>
        <w:rPr>
          <w:rFonts w:ascii="Times New Roman"/>
        </w:rPr>
        <w:t>——人力成本费率，单位为元/人月；</w:t>
      </w:r>
    </w:p>
    <w:p>
      <w:pPr>
        <w:pStyle w:val="60"/>
        <w:ind w:firstLine="420"/>
        <w:rPr>
          <w:rFonts w:ascii="Times New Roman"/>
        </w:rPr>
      </w:pPr>
      <w:r>
        <w:rPr>
          <w:rFonts w:ascii="Times New Roman"/>
          <w:i/>
        </w:rPr>
        <w:t>DP</w:t>
      </w:r>
      <w:r>
        <w:rPr>
          <w:rFonts w:ascii="Times New Roman"/>
        </w:rPr>
        <w:t>——间接成本系数，即分摊到每人月的间接成本占每人月直接人力成本的比例。</w:t>
      </w:r>
    </w:p>
    <w:p>
      <w:pPr>
        <w:pStyle w:val="60"/>
        <w:ind w:firstLine="420"/>
        <w:rPr>
          <w:rFonts w:ascii="Times New Roman"/>
        </w:rPr>
      </w:pPr>
      <w:r>
        <w:rPr>
          <w:rFonts w:ascii="Times New Roman"/>
        </w:rPr>
        <w:t>宜参照行业基准数据确定</w:t>
      </w:r>
      <w:r>
        <w:rPr>
          <w:rFonts w:ascii="Times New Roman"/>
          <w:i/>
          <w:iCs/>
        </w:rPr>
        <w:t>DP</w:t>
      </w:r>
      <w:r>
        <w:rPr>
          <w:rFonts w:ascii="Times New Roman"/>
        </w:rPr>
        <w:t>的取值。</w:t>
      </w:r>
    </w:p>
    <w:p>
      <w:pPr>
        <w:pStyle w:val="60"/>
        <w:ind w:firstLine="420"/>
        <w:rPr>
          <w:rFonts w:ascii="Times New Roman"/>
        </w:rPr>
      </w:pPr>
      <w:r>
        <w:rPr>
          <w:rFonts w:ascii="Times New Roman"/>
        </w:rPr>
        <w:t>如果已经获得了人力成本费率，则可以依据工作量估算结果和人力成本费率直接计算出直接人力成本和间接成本的总和，然后再计算软件适配改造成本，见公式（7）。</w:t>
      </w:r>
    </w:p>
    <w:p>
      <w:pPr>
        <w:pStyle w:val="117"/>
        <w:rPr>
          <w:rFonts w:ascii="Times New Roman" w:hAnsi="Times New Roman"/>
        </w:rPr>
      </w:pPr>
      <w:r>
        <w:rPr>
          <w:rFonts w:ascii="Times New Roman" w:hAnsi="Times New Roman"/>
        </w:rPr>
        <w:tab/>
      </w:r>
      <m:oMath>
        <m:r>
          <m:rPr/>
          <w:rPr>
            <w:rFonts w:ascii="Cambria Math" w:hAnsi="Cambria Math" w:eastAsia="SimSun-ExtB"/>
          </w:rPr>
          <m:t>SADC=</m:t>
        </m:r>
        <m:r>
          <m:rPr/>
          <w:rPr>
            <w:rFonts w:ascii="Cambria Math" w:hAnsi="Cambria Math" w:eastAsia="微软雅黑"/>
          </w:rPr>
          <m:t>（</m:t>
        </m:r>
        <m:r>
          <m:rPr/>
          <w:rPr>
            <w:rFonts w:ascii="Cambria Math" w:hAnsi="Cambria Math" w:eastAsia="SimSun-ExtB"/>
          </w:rPr>
          <m:t>E×F</m:t>
        </m:r>
        <m:r>
          <m:rPr/>
          <w:rPr>
            <w:rFonts w:ascii="Cambria Math" w:hAnsi="Cambria Math" w:eastAsia="微软雅黑"/>
          </w:rPr>
          <m:t>）</m:t>
        </m:r>
        <m:r>
          <m:rPr/>
          <w:rPr>
            <w:rFonts w:ascii="Cambria Math" w:hAnsi="Cambria Math" w:eastAsia="SimSun-ExtB"/>
          </w:rPr>
          <m:t>+DNC</m:t>
        </m:r>
      </m:oMath>
      <w:r>
        <w:rPr>
          <w:rFonts w:ascii="Times New Roman" w:hAnsi="Times New Roman" w:eastAsia="微软雅黑"/>
        </w:rPr>
        <w:tab/>
      </w:r>
      <w:r>
        <w:rPr>
          <w:rFonts w:ascii="Times New Roman" w:hAnsi="Times New Roman"/>
        </w:rPr>
        <w:t>（7）</w:t>
      </w:r>
    </w:p>
    <w:p>
      <w:pPr>
        <w:pStyle w:val="60"/>
        <w:ind w:firstLine="420"/>
        <w:rPr>
          <w:rFonts w:ascii="Times New Roman"/>
        </w:rPr>
      </w:pPr>
      <w:r>
        <w:rPr>
          <w:rFonts w:ascii="Times New Roman"/>
        </w:rPr>
        <w:t>如果已经确定了规模综合单价，则可以根据规模综合单价和估算出的规模直接计算出直接人力成本和间接成本的总和，然后计算软件适配改造成本，见公式（8）。</w:t>
      </w:r>
    </w:p>
    <w:p>
      <w:pPr>
        <w:pStyle w:val="117"/>
        <w:rPr>
          <w:rFonts w:ascii="Times New Roman" w:hAnsi="Times New Roman"/>
        </w:rPr>
      </w:pPr>
      <w:r>
        <w:rPr>
          <w:rFonts w:ascii="Times New Roman" w:hAnsi="Times New Roman"/>
        </w:rPr>
        <w:tab/>
      </w:r>
      <m:oMath>
        <m:r>
          <m:rPr/>
          <w:rPr>
            <w:rFonts w:ascii="Cambria Math" w:hAnsi="Cambria Math" w:eastAsia="SimSun-ExtB"/>
          </w:rPr>
          <m:t>SADC=P×S+DNC</m:t>
        </m:r>
      </m:oMath>
      <w:r>
        <w:rPr>
          <w:rFonts w:ascii="Times New Roman" w:hAnsi="Times New Roman" w:eastAsia="微软雅黑"/>
        </w:rPr>
        <w:tab/>
      </w:r>
      <w:r>
        <w:rPr>
          <w:rFonts w:ascii="Times New Roman" w:hAnsi="Times New Roman"/>
        </w:rPr>
        <w:t>（8）</w:t>
      </w:r>
    </w:p>
    <w:p>
      <w:pPr>
        <w:pStyle w:val="60"/>
        <w:ind w:firstLine="420"/>
        <w:rPr>
          <w:rFonts w:ascii="Times New Roman"/>
        </w:rPr>
      </w:pPr>
      <w:r>
        <w:rPr>
          <w:rFonts w:ascii="Times New Roman"/>
        </w:rPr>
        <w:t>式中：</w:t>
      </w:r>
    </w:p>
    <w:p>
      <w:pPr>
        <w:pStyle w:val="60"/>
        <w:ind w:firstLine="420"/>
        <w:rPr>
          <w:rFonts w:ascii="Times New Roman"/>
        </w:rPr>
      </w:pPr>
      <w:r>
        <w:rPr>
          <w:rFonts w:ascii="Times New Roman"/>
          <w:i/>
        </w:rPr>
        <w:t xml:space="preserve">P   </w:t>
      </w:r>
      <w:r>
        <w:rPr>
          <w:rFonts w:ascii="Times New Roman"/>
        </w:rPr>
        <w:t>——规模综合单价，单位为元/功能点或元/适配点；</w:t>
      </w:r>
    </w:p>
    <w:p>
      <w:pPr>
        <w:pStyle w:val="60"/>
        <w:ind w:firstLine="420"/>
        <w:rPr>
          <w:rFonts w:ascii="Times New Roman"/>
        </w:rPr>
      </w:pPr>
      <w:r>
        <w:rPr>
          <w:rFonts w:ascii="Times New Roman"/>
          <w:i/>
        </w:rPr>
        <w:t>S</w:t>
      </w:r>
      <w:r>
        <w:rPr>
          <w:rFonts w:ascii="Times New Roman"/>
        </w:rPr>
        <w:t xml:space="preserve">   ——软件规模，单位为功能点或适配点。</w:t>
      </w:r>
    </w:p>
    <w:p>
      <w:pPr>
        <w:pStyle w:val="109"/>
        <w:spacing w:before="156" w:after="156"/>
        <w:rPr>
          <w:rFonts w:ascii="Times New Roman"/>
        </w:rPr>
      </w:pPr>
      <w:bookmarkStart w:id="215" w:name="_Toc13130"/>
      <w:bookmarkStart w:id="216" w:name="_Toc185238820"/>
      <w:r>
        <w:rPr>
          <w:rFonts w:ascii="Times New Roman"/>
        </w:rPr>
        <w:t>测量</w:t>
      </w:r>
      <w:bookmarkEnd w:id="215"/>
      <w:bookmarkEnd w:id="216"/>
    </w:p>
    <w:p>
      <w:pPr>
        <w:pStyle w:val="69"/>
        <w:spacing w:before="156" w:after="156"/>
        <w:rPr>
          <w:rFonts w:ascii="Times New Roman"/>
        </w:rPr>
      </w:pPr>
      <w:r>
        <w:rPr>
          <w:rFonts w:ascii="Times New Roman"/>
        </w:rPr>
        <w:t>概述</w:t>
      </w:r>
    </w:p>
    <w:p>
      <w:pPr>
        <w:pStyle w:val="60"/>
        <w:ind w:firstLine="420"/>
        <w:rPr>
          <w:rFonts w:ascii="Times New Roman"/>
        </w:rPr>
      </w:pPr>
      <w:r>
        <w:rPr>
          <w:rFonts w:ascii="Times New Roman"/>
        </w:rPr>
        <w:t>进行成本测量的目的是对项目的实际规模，工作量以及成本数据进行收集和分析，以用于后续进行成本估算模型的校正或持续改进成本度量过程。对应用软件适配改造项目实施过程中的各环节应建立估算结果的反馈机制，及时收集和分析实际执行过程中的偏差和原因，及时调整优化。</w:t>
      </w:r>
    </w:p>
    <w:p>
      <w:pPr>
        <w:pStyle w:val="69"/>
        <w:spacing w:before="156" w:after="156"/>
        <w:rPr>
          <w:rFonts w:ascii="Times New Roman"/>
        </w:rPr>
      </w:pPr>
      <w:bookmarkStart w:id="217" w:name="_Toc345947433"/>
      <w:bookmarkStart w:id="218" w:name="_Toc504576680"/>
      <w:bookmarkStart w:id="219" w:name="_Toc501891529"/>
      <w:r>
        <w:rPr>
          <w:rFonts w:ascii="Times New Roman"/>
        </w:rPr>
        <w:t>规模、工作量测量</w:t>
      </w:r>
      <w:bookmarkEnd w:id="217"/>
      <w:bookmarkEnd w:id="218"/>
      <w:bookmarkEnd w:id="219"/>
    </w:p>
    <w:p>
      <w:pPr>
        <w:pStyle w:val="98"/>
        <w:spacing w:before="156" w:after="156"/>
        <w:rPr>
          <w:rFonts w:ascii="Times New Roman"/>
        </w:rPr>
      </w:pPr>
      <w:r>
        <w:rPr>
          <w:rFonts w:ascii="Times New Roman"/>
        </w:rPr>
        <w:t>规模测量</w:t>
      </w:r>
    </w:p>
    <w:p>
      <w:pPr>
        <w:pStyle w:val="60"/>
        <w:ind w:firstLine="420"/>
        <w:rPr>
          <w:rFonts w:ascii="Times New Roman"/>
        </w:rPr>
      </w:pPr>
      <w:r>
        <w:rPr>
          <w:rFonts w:ascii="Times New Roman"/>
        </w:rPr>
        <w:t>应定期或事件驱动地对规模进行测量，可在以下时机宜对规模进行测量：</w:t>
      </w:r>
    </w:p>
    <w:p>
      <w:pPr>
        <w:pStyle w:val="178"/>
        <w:numPr>
          <w:ilvl w:val="0"/>
          <w:numId w:val="41"/>
        </w:numPr>
        <w:rPr>
          <w:rFonts w:ascii="Times New Roman"/>
        </w:rPr>
      </w:pPr>
      <w:r>
        <w:rPr>
          <w:rFonts w:ascii="Times New Roman"/>
        </w:rPr>
        <w:t>需求完成；</w:t>
      </w:r>
    </w:p>
    <w:p>
      <w:pPr>
        <w:pStyle w:val="178"/>
        <w:rPr>
          <w:rFonts w:ascii="Times New Roman"/>
        </w:rPr>
      </w:pPr>
      <w:r>
        <w:rPr>
          <w:rFonts w:ascii="Times New Roman"/>
        </w:rPr>
        <w:t>设计完成；</w:t>
      </w:r>
    </w:p>
    <w:p>
      <w:pPr>
        <w:pStyle w:val="178"/>
        <w:rPr>
          <w:rFonts w:ascii="Times New Roman"/>
        </w:rPr>
      </w:pPr>
      <w:r>
        <w:rPr>
          <w:rFonts w:ascii="Times New Roman"/>
        </w:rPr>
        <w:t>编码完成；</w:t>
      </w:r>
    </w:p>
    <w:p>
      <w:pPr>
        <w:pStyle w:val="178"/>
        <w:rPr>
          <w:rFonts w:ascii="Times New Roman"/>
        </w:rPr>
      </w:pPr>
      <w:r>
        <w:rPr>
          <w:rFonts w:ascii="Times New Roman"/>
        </w:rPr>
        <w:t>内部测试完成；</w:t>
      </w:r>
    </w:p>
    <w:p>
      <w:pPr>
        <w:pStyle w:val="178"/>
        <w:rPr>
          <w:rFonts w:ascii="Times New Roman"/>
        </w:rPr>
      </w:pPr>
      <w:r>
        <w:rPr>
          <w:rFonts w:ascii="Times New Roman"/>
        </w:rPr>
        <w:t>项目结束后。</w:t>
      </w:r>
    </w:p>
    <w:p>
      <w:pPr>
        <w:pStyle w:val="60"/>
        <w:ind w:firstLine="420"/>
        <w:rPr>
          <w:rFonts w:ascii="Times New Roman"/>
        </w:rPr>
      </w:pPr>
      <w:r>
        <w:rPr>
          <w:rFonts w:ascii="Times New Roman"/>
        </w:rPr>
        <w:t>规模测量方法宜与规模估算所采用的方法一致。</w:t>
      </w:r>
    </w:p>
    <w:p>
      <w:pPr>
        <w:pStyle w:val="98"/>
        <w:spacing w:before="156" w:after="156"/>
        <w:rPr>
          <w:rFonts w:ascii="Times New Roman"/>
        </w:rPr>
      </w:pPr>
      <w:r>
        <w:rPr>
          <w:rFonts w:ascii="Times New Roman"/>
        </w:rPr>
        <w:t>工作量测量</w:t>
      </w:r>
    </w:p>
    <w:p>
      <w:pPr>
        <w:pStyle w:val="60"/>
        <w:ind w:firstLine="420"/>
        <w:rPr>
          <w:rFonts w:ascii="Times New Roman"/>
        </w:rPr>
      </w:pPr>
      <w:r>
        <w:rPr>
          <w:rFonts w:ascii="Times New Roman"/>
        </w:rPr>
        <w:t>应定期或事件驱动地对项目工作量进行测量，除对总工作量进行测量外，宜对项目不同活动、不同阶段的工作量分别进行测量。</w:t>
      </w:r>
    </w:p>
    <w:p>
      <w:pPr>
        <w:pStyle w:val="69"/>
        <w:spacing w:before="156" w:after="156"/>
        <w:rPr>
          <w:rFonts w:ascii="Times New Roman"/>
        </w:rPr>
      </w:pPr>
      <w:bookmarkStart w:id="220" w:name="_Toc345947434"/>
      <w:bookmarkStart w:id="221" w:name="_Toc504576681"/>
      <w:bookmarkStart w:id="222" w:name="_Toc501891530"/>
      <w:r>
        <w:rPr>
          <w:rFonts w:ascii="Times New Roman"/>
        </w:rPr>
        <w:t>成本测量</w:t>
      </w:r>
      <w:bookmarkEnd w:id="220"/>
      <w:bookmarkEnd w:id="221"/>
      <w:bookmarkEnd w:id="222"/>
    </w:p>
    <w:p>
      <w:pPr>
        <w:pStyle w:val="60"/>
        <w:ind w:firstLine="420"/>
        <w:rPr>
          <w:rFonts w:ascii="Times New Roman"/>
        </w:rPr>
      </w:pPr>
      <w:r>
        <w:rPr>
          <w:rFonts w:ascii="Times New Roman"/>
        </w:rPr>
        <w:t>在项目开发过程中，宜定期或事件驱动地对已发生的直接成本进行测量；在项目结束后，宜参照第6章的要求对各项成本分别进行测量。</w:t>
      </w:r>
    </w:p>
    <w:p>
      <w:pPr>
        <w:pStyle w:val="69"/>
        <w:spacing w:before="156" w:after="156"/>
        <w:rPr>
          <w:rFonts w:ascii="Times New Roman"/>
        </w:rPr>
      </w:pPr>
      <w:bookmarkStart w:id="223" w:name="_Toc345947435"/>
      <w:bookmarkStart w:id="224" w:name="_Toc501891531"/>
      <w:bookmarkStart w:id="225" w:name="_Toc504576682"/>
      <w:r>
        <w:rPr>
          <w:rFonts w:ascii="Times New Roman"/>
        </w:rPr>
        <w:t>成本分析</w:t>
      </w:r>
      <w:bookmarkEnd w:id="223"/>
      <w:bookmarkEnd w:id="224"/>
      <w:bookmarkEnd w:id="225"/>
    </w:p>
    <w:p>
      <w:pPr>
        <w:pStyle w:val="98"/>
        <w:spacing w:before="156" w:after="156"/>
        <w:rPr>
          <w:rFonts w:ascii="Times New Roman"/>
        </w:rPr>
      </w:pPr>
      <w:r>
        <w:rPr>
          <w:rFonts w:ascii="Times New Roman"/>
        </w:rPr>
        <w:t>成本分析内容</w:t>
      </w:r>
    </w:p>
    <w:p>
      <w:pPr>
        <w:pStyle w:val="60"/>
        <w:ind w:firstLine="420"/>
        <w:rPr>
          <w:rFonts w:ascii="Times New Roman"/>
        </w:rPr>
      </w:pPr>
      <w:r>
        <w:rPr>
          <w:rFonts w:ascii="Times New Roman"/>
        </w:rPr>
        <w:t>主要包括：</w:t>
      </w:r>
    </w:p>
    <w:p>
      <w:pPr>
        <w:pStyle w:val="178"/>
        <w:numPr>
          <w:ilvl w:val="0"/>
          <w:numId w:val="42"/>
        </w:numPr>
        <w:rPr>
          <w:rFonts w:ascii="Times New Roman"/>
        </w:rPr>
      </w:pPr>
      <w:r>
        <w:rPr>
          <w:rFonts w:ascii="Times New Roman"/>
        </w:rPr>
        <w:t>成本估算偏差；</w:t>
      </w:r>
    </w:p>
    <w:p>
      <w:pPr>
        <w:pStyle w:val="178"/>
        <w:rPr>
          <w:rFonts w:ascii="Times New Roman"/>
        </w:rPr>
      </w:pPr>
      <w:r>
        <w:rPr>
          <w:rFonts w:ascii="Times New Roman"/>
        </w:rPr>
        <w:t>成本构成；</w:t>
      </w:r>
    </w:p>
    <w:p>
      <w:pPr>
        <w:pStyle w:val="178"/>
        <w:rPr>
          <w:rFonts w:ascii="Times New Roman"/>
        </w:rPr>
      </w:pPr>
      <w:r>
        <w:rPr>
          <w:rFonts w:ascii="Times New Roman"/>
        </w:rPr>
        <w:t>成本关键影响因素相关性分析；</w:t>
      </w:r>
    </w:p>
    <w:p>
      <w:pPr>
        <w:pStyle w:val="178"/>
        <w:rPr>
          <w:rFonts w:ascii="Times New Roman"/>
        </w:rPr>
      </w:pPr>
      <w:r>
        <w:rPr>
          <w:rFonts w:ascii="Times New Roman"/>
        </w:rPr>
        <w:t>成本估算方程回归分析。</w:t>
      </w:r>
    </w:p>
    <w:p>
      <w:pPr>
        <w:pStyle w:val="98"/>
        <w:spacing w:before="156" w:after="156"/>
        <w:rPr>
          <w:rFonts w:ascii="Times New Roman"/>
        </w:rPr>
      </w:pPr>
      <w:r>
        <w:rPr>
          <w:rFonts w:ascii="Times New Roman"/>
        </w:rPr>
        <w:t>成本分析过程</w:t>
      </w:r>
    </w:p>
    <w:p>
      <w:pPr>
        <w:pStyle w:val="171"/>
      </w:pPr>
      <w:r>
        <w:t>在项目开发过程中，应定期检查实际发生成本与估算成本的偏差。</w:t>
      </w:r>
    </w:p>
    <w:p>
      <w:pPr>
        <w:pStyle w:val="171"/>
      </w:pPr>
      <w:r>
        <w:t>项目结束后，应对成本及相关数据进行分析，并用于：</w:t>
      </w:r>
    </w:p>
    <w:p>
      <w:pPr>
        <w:pStyle w:val="178"/>
        <w:numPr>
          <w:ilvl w:val="0"/>
          <w:numId w:val="43"/>
        </w:numPr>
      </w:pPr>
      <w:r>
        <w:t>项目评价；</w:t>
      </w:r>
    </w:p>
    <w:p>
      <w:pPr>
        <w:pStyle w:val="178"/>
      </w:pPr>
      <w:r>
        <w:t>建立或校正成本估算模型；</w:t>
      </w:r>
    </w:p>
    <w:p>
      <w:pPr>
        <w:pStyle w:val="178"/>
      </w:pPr>
      <w:r>
        <w:t>过程改进。</w:t>
      </w:r>
    </w:p>
    <w:p>
      <w:pPr>
        <w:pStyle w:val="171"/>
      </w:pPr>
      <w:r>
        <w:t>项目规模、工作量、成本等估算及实际数据应有效管理并保存在基准数据库中。</w:t>
      </w:r>
    </w:p>
    <w:p>
      <w:pPr>
        <w:rPr>
          <w:rFonts w:ascii="Times New Roman"/>
        </w:rPr>
      </w:pPr>
      <w:r>
        <w:rPr>
          <w:rFonts w:ascii="Times New Roman"/>
        </w:rPr>
        <w:br w:type="page"/>
      </w:r>
    </w:p>
    <w:p>
      <w:pPr>
        <w:pStyle w:val="202"/>
        <w:rPr>
          <w:rFonts w:ascii="Times New Roman" w:hAnsi="Times New Roman"/>
          <w:vanish w:val="0"/>
        </w:rPr>
      </w:pPr>
    </w:p>
    <w:p>
      <w:pPr>
        <w:pStyle w:val="203"/>
        <w:rPr>
          <w:rFonts w:ascii="Times New Roman"/>
          <w:vanish w:val="0"/>
        </w:rPr>
      </w:pPr>
    </w:p>
    <w:bookmarkEnd w:id="17"/>
    <w:p>
      <w:pPr>
        <w:pStyle w:val="203"/>
        <w:rPr>
          <w:rFonts w:ascii="Times New Roman"/>
          <w:vanish w:val="0"/>
        </w:rPr>
      </w:pPr>
      <w:bookmarkStart w:id="226" w:name="BookMark5"/>
    </w:p>
    <w:p>
      <w:pPr>
        <w:pStyle w:val="80"/>
        <w:spacing w:after="156"/>
        <w:rPr>
          <w:rFonts w:ascii="Times New Roman"/>
        </w:rPr>
      </w:pPr>
      <w:bookmarkStart w:id="227" w:name="_Toc27721"/>
      <w:r>
        <w:rPr>
          <w:rFonts w:ascii="Times New Roman"/>
        </w:rPr>
        <w:br w:type="textWrapping"/>
      </w:r>
      <w:r>
        <w:rPr>
          <w:rFonts w:ascii="Times New Roman"/>
        </w:rPr>
        <w:t>（规范性）</w:t>
      </w:r>
      <w:r>
        <w:rPr>
          <w:rFonts w:ascii="Times New Roman"/>
        </w:rPr>
        <w:br w:type="textWrapping"/>
      </w:r>
      <w:r>
        <w:rPr>
          <w:rFonts w:ascii="Times New Roman"/>
        </w:rPr>
        <w:t>适配点计数基本规则</w:t>
      </w:r>
      <w:bookmarkEnd w:id="227"/>
    </w:p>
    <w:p>
      <w:pPr>
        <w:pStyle w:val="82"/>
        <w:spacing w:before="156" w:after="156"/>
        <w:rPr>
          <w:rFonts w:ascii="Times New Roman"/>
        </w:rPr>
      </w:pPr>
      <w:bookmarkStart w:id="228" w:name="_Toc9733"/>
      <w:bookmarkStart w:id="229" w:name="_Toc185238822"/>
      <w:bookmarkStart w:id="230" w:name="_Toc164340105"/>
      <w:r>
        <w:rPr>
          <w:rFonts w:ascii="Times New Roman"/>
        </w:rPr>
        <w:t>中间件适配</w:t>
      </w:r>
      <w:bookmarkEnd w:id="228"/>
      <w:bookmarkEnd w:id="229"/>
      <w:bookmarkEnd w:id="230"/>
    </w:p>
    <w:p>
      <w:pPr>
        <w:pStyle w:val="60"/>
        <w:ind w:firstLine="420"/>
        <w:rPr>
          <w:rFonts w:ascii="Times New Roman"/>
        </w:rPr>
      </w:pPr>
      <w:r>
        <w:rPr>
          <w:rFonts w:ascii="Times New Roman"/>
        </w:rPr>
        <w:t>为了适配信创中间件，对应用软件程序进行修改或调整，以确保系统高效运行和互操作性。</w:t>
      </w:r>
      <w:r>
        <w:rPr>
          <w:rFonts w:ascii="Times New Roman"/>
          <w:lang w:eastAsia="zh-Hans"/>
        </w:rPr>
        <w:t>常见类型</w:t>
      </w:r>
      <w:r>
        <w:rPr>
          <w:rFonts w:ascii="Times New Roman"/>
        </w:rPr>
        <w:t>如应用服务器中间件、消息中间件、缓存中间件、负载均衡中间件及交易中间件</w:t>
      </w:r>
      <w:r>
        <w:rPr>
          <w:rFonts w:ascii="Times New Roman"/>
          <w:lang w:eastAsia="zh-Hans"/>
        </w:rPr>
        <w:t>等</w:t>
      </w:r>
      <w:r>
        <w:rPr>
          <w:rFonts w:ascii="Times New Roman"/>
        </w:rPr>
        <w:t>。中间件适配</w:t>
      </w:r>
      <w:r>
        <w:rPr>
          <w:rFonts w:ascii="Times New Roman"/>
          <w:lang w:eastAsia="zh-Hans"/>
        </w:rPr>
        <w:t>工作主要包含协议转换、数据格式转换、接口</w:t>
      </w:r>
      <w:r>
        <w:rPr>
          <w:rFonts w:ascii="Times New Roman"/>
        </w:rPr>
        <w:t>改造</w:t>
      </w:r>
      <w:r>
        <w:rPr>
          <w:rFonts w:ascii="Times New Roman"/>
          <w:lang w:eastAsia="zh-Hans"/>
        </w:rPr>
        <w:t>、消息路由配置等，见表</w:t>
      </w:r>
      <w:r>
        <w:rPr>
          <w:rFonts w:ascii="Times New Roman"/>
        </w:rPr>
        <w:t>A.1。</w:t>
      </w:r>
    </w:p>
    <w:p>
      <w:pPr>
        <w:pStyle w:val="81"/>
        <w:numPr>
          <w:ilvl w:val="0"/>
          <w:numId w:val="0"/>
        </w:numPr>
        <w:spacing w:before="156" w:after="156"/>
        <w:rPr>
          <w:rFonts w:ascii="Times New Roman"/>
        </w:rPr>
      </w:pPr>
      <w:r>
        <w:rPr>
          <w:rFonts w:ascii="Times New Roman"/>
        </w:rPr>
        <w:t>表A.1  中间件适配计数</w:t>
      </w:r>
    </w:p>
    <w:tbl>
      <w:tblPr>
        <w:tblStyle w:val="29"/>
        <w:tblW w:w="9356" w:type="dxa"/>
        <w:tblInd w:w="-1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2245"/>
        <w:gridCol w:w="1866"/>
        <w:gridCol w:w="5245"/>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2245"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计数项类型</w:t>
            </w:r>
          </w:p>
        </w:tc>
        <w:tc>
          <w:tcPr>
            <w:tcW w:w="1866"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AP/个计数项</w:t>
            </w:r>
          </w:p>
        </w:tc>
        <w:tc>
          <w:tcPr>
            <w:tcW w:w="5245"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2245" w:type="dxa"/>
            <w:tcBorders>
              <w:top w:val="single" w:color="auto" w:sz="8" w:space="0"/>
            </w:tcBorders>
            <w:shd w:val="clear" w:color="auto" w:fill="auto"/>
            <w:vAlign w:val="center"/>
          </w:tcPr>
          <w:p>
            <w:pPr>
              <w:pStyle w:val="60"/>
              <w:ind w:firstLine="0" w:firstLineChars="0"/>
              <w:jc w:val="center"/>
              <w:rPr>
                <w:rFonts w:ascii="Times New Roman"/>
                <w:sz w:val="18"/>
                <w:szCs w:val="18"/>
              </w:rPr>
            </w:pPr>
            <w:r>
              <w:rPr>
                <w:rFonts w:ascii="Times New Roman"/>
                <w:sz w:val="18"/>
                <w:szCs w:val="18"/>
              </w:rPr>
              <w:t>配置</w:t>
            </w:r>
          </w:p>
        </w:tc>
        <w:tc>
          <w:tcPr>
            <w:tcW w:w="1866" w:type="dxa"/>
            <w:tcBorders>
              <w:top w:val="single" w:color="auto" w:sz="8" w:space="0"/>
            </w:tcBorders>
            <w:shd w:val="clear" w:color="auto" w:fill="auto"/>
            <w:vAlign w:val="center"/>
          </w:tcPr>
          <w:p>
            <w:pPr>
              <w:pStyle w:val="60"/>
              <w:ind w:firstLine="0" w:firstLineChars="0"/>
              <w:jc w:val="center"/>
              <w:rPr>
                <w:rFonts w:ascii="Times New Roman"/>
                <w:sz w:val="18"/>
                <w:szCs w:val="18"/>
              </w:rPr>
            </w:pPr>
            <w:r>
              <w:rPr>
                <w:rFonts w:ascii="Times New Roman"/>
                <w:sz w:val="18"/>
                <w:szCs w:val="18"/>
              </w:rPr>
              <w:t>0.5～1</w:t>
            </w:r>
          </w:p>
        </w:tc>
        <w:tc>
          <w:tcPr>
            <w:tcW w:w="5245" w:type="dxa"/>
            <w:tcBorders>
              <w:top w:val="single" w:color="auto" w:sz="8" w:space="0"/>
            </w:tcBorders>
            <w:shd w:val="clear" w:color="auto" w:fill="auto"/>
          </w:tcPr>
          <w:p>
            <w:pPr>
              <w:pStyle w:val="60"/>
              <w:ind w:firstLine="180" w:firstLineChars="100"/>
              <w:rPr>
                <w:rFonts w:ascii="Times New Roman"/>
                <w:sz w:val="18"/>
                <w:szCs w:val="18"/>
              </w:rPr>
            </w:pPr>
            <w:r>
              <w:rPr>
                <w:rFonts w:ascii="Times New Roman"/>
                <w:sz w:val="18"/>
                <w:szCs w:val="18"/>
              </w:rPr>
              <w:t>估算时以要适配的中间件涉及的配置文件为计数范围，每个配置文件计为1个计数项</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2245" w:type="dxa"/>
            <w:shd w:val="clear" w:color="auto" w:fill="auto"/>
            <w:vAlign w:val="center"/>
          </w:tcPr>
          <w:p>
            <w:pPr>
              <w:pStyle w:val="60"/>
              <w:ind w:firstLine="0" w:firstLineChars="0"/>
              <w:jc w:val="center"/>
              <w:rPr>
                <w:rFonts w:ascii="Times New Roman"/>
                <w:sz w:val="18"/>
                <w:szCs w:val="18"/>
              </w:rPr>
            </w:pPr>
            <w:r>
              <w:rPr>
                <w:rFonts w:ascii="Times New Roman"/>
                <w:sz w:val="18"/>
                <w:szCs w:val="18"/>
                <w:lang w:eastAsia="zh-Hans"/>
              </w:rPr>
              <w:t>接口</w:t>
            </w:r>
          </w:p>
        </w:tc>
        <w:tc>
          <w:tcPr>
            <w:tcW w:w="1866" w:type="dxa"/>
            <w:shd w:val="clear" w:color="auto" w:fill="auto"/>
            <w:vAlign w:val="center"/>
          </w:tcPr>
          <w:p>
            <w:pPr>
              <w:pStyle w:val="60"/>
              <w:ind w:firstLine="0" w:firstLineChars="0"/>
              <w:jc w:val="center"/>
              <w:rPr>
                <w:rFonts w:ascii="Times New Roman"/>
                <w:sz w:val="18"/>
                <w:szCs w:val="18"/>
              </w:rPr>
            </w:pPr>
            <w:r>
              <w:rPr>
                <w:rFonts w:ascii="Times New Roman"/>
                <w:sz w:val="18"/>
                <w:szCs w:val="18"/>
              </w:rPr>
              <w:t>1～2</w:t>
            </w:r>
          </w:p>
        </w:tc>
        <w:tc>
          <w:tcPr>
            <w:tcW w:w="5245" w:type="dxa"/>
            <w:shd w:val="clear" w:color="auto" w:fill="auto"/>
          </w:tcPr>
          <w:p>
            <w:pPr>
              <w:pStyle w:val="60"/>
              <w:ind w:firstLine="180" w:firstLineChars="100"/>
              <w:rPr>
                <w:rFonts w:ascii="Times New Roman"/>
                <w:sz w:val="18"/>
                <w:szCs w:val="18"/>
              </w:rPr>
            </w:pPr>
            <w:r>
              <w:rPr>
                <w:rFonts w:ascii="Times New Roman"/>
                <w:sz w:val="18"/>
                <w:szCs w:val="18"/>
              </w:rPr>
              <w:t>估算时以要适配的</w:t>
            </w:r>
            <w:r>
              <w:rPr>
                <w:rFonts w:ascii="Times New Roman"/>
                <w:sz w:val="18"/>
                <w:szCs w:val="18"/>
                <w:lang w:eastAsia="zh-Hans"/>
              </w:rPr>
              <w:t>应用程序之间的接口</w:t>
            </w:r>
            <w:r>
              <w:rPr>
                <w:rFonts w:ascii="Times New Roman"/>
                <w:sz w:val="18"/>
                <w:szCs w:val="18"/>
              </w:rPr>
              <w:t>（例如：</w:t>
            </w:r>
            <w:r>
              <w:rPr>
                <w:rFonts w:ascii="Times New Roman"/>
                <w:sz w:val="18"/>
                <w:szCs w:val="18"/>
                <w:lang w:eastAsia="zh-Hans"/>
              </w:rPr>
              <w:t>协议、数据格式转换</w:t>
            </w:r>
            <w:r>
              <w:rPr>
                <w:rFonts w:ascii="Times New Roman"/>
                <w:sz w:val="18"/>
                <w:szCs w:val="18"/>
              </w:rPr>
              <w:t>、</w:t>
            </w:r>
            <w:r>
              <w:rPr>
                <w:rFonts w:ascii="Times New Roman"/>
                <w:sz w:val="18"/>
                <w:szCs w:val="18"/>
                <w:lang w:eastAsia="zh-Hans"/>
              </w:rPr>
              <w:t>API、Web服务、消息队列等</w:t>
            </w:r>
            <w:r>
              <w:rPr>
                <w:rFonts w:ascii="Times New Roman"/>
                <w:sz w:val="18"/>
                <w:szCs w:val="18"/>
              </w:rPr>
              <w:t>）为计数范围，每个接口计为1个计数项</w:t>
            </w:r>
          </w:p>
        </w:tc>
      </w:tr>
    </w:tbl>
    <w:p>
      <w:pPr>
        <w:pStyle w:val="82"/>
        <w:spacing w:before="156" w:after="156"/>
        <w:rPr>
          <w:rFonts w:ascii="Times New Roman"/>
        </w:rPr>
      </w:pPr>
      <w:bookmarkStart w:id="231" w:name="_Toc164340106"/>
      <w:bookmarkStart w:id="232" w:name="_Toc31642"/>
      <w:bookmarkStart w:id="233" w:name="_Toc185238823"/>
      <w:r>
        <w:rPr>
          <w:rFonts w:ascii="Times New Roman"/>
        </w:rPr>
        <w:t>数据库适配</w:t>
      </w:r>
      <w:bookmarkEnd w:id="231"/>
      <w:bookmarkEnd w:id="232"/>
      <w:bookmarkEnd w:id="233"/>
    </w:p>
    <w:p>
      <w:pPr>
        <w:pStyle w:val="60"/>
        <w:ind w:firstLine="420"/>
        <w:rPr>
          <w:rFonts w:ascii="Times New Roman"/>
        </w:rPr>
      </w:pPr>
      <w:r>
        <w:rPr>
          <w:rFonts w:ascii="Times New Roman"/>
        </w:rPr>
        <w:t>应用程序在使用不同类型的数据库时，将应用程序的代码进行修改或配置，以便能够与不同的数据库进行交互和通信。在切换或使用不同的数据库时，应根据数据库存储格式、查询语言和特性等进行适配，适配内容主要包含SQL语句、存储过程、函数和视图等，见表A.2。</w:t>
      </w:r>
    </w:p>
    <w:p>
      <w:pPr>
        <w:pStyle w:val="81"/>
        <w:numPr>
          <w:ilvl w:val="0"/>
          <w:numId w:val="0"/>
        </w:numPr>
        <w:spacing w:before="156" w:after="156"/>
        <w:rPr>
          <w:rFonts w:ascii="Times New Roman"/>
        </w:rPr>
      </w:pPr>
      <w:r>
        <w:rPr>
          <w:rFonts w:ascii="Times New Roman"/>
        </w:rPr>
        <w:t>表A.2  数据库适配计数</w:t>
      </w:r>
    </w:p>
    <w:tbl>
      <w:tblPr>
        <w:tblStyle w:val="29"/>
        <w:tblW w:w="9346" w:type="dxa"/>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2178"/>
        <w:gridCol w:w="1600"/>
        <w:gridCol w:w="5568"/>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178"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计数项类型</w:t>
            </w:r>
          </w:p>
        </w:tc>
        <w:tc>
          <w:tcPr>
            <w:tcW w:w="1600"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AP/个计数项</w:t>
            </w:r>
          </w:p>
        </w:tc>
        <w:tc>
          <w:tcPr>
            <w:tcW w:w="5568"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2178" w:type="dxa"/>
            <w:tcBorders>
              <w:top w:val="single" w:color="auto" w:sz="8" w:space="0"/>
            </w:tcBorders>
            <w:shd w:val="clear" w:color="auto" w:fill="auto"/>
            <w:vAlign w:val="center"/>
          </w:tcPr>
          <w:p>
            <w:pPr>
              <w:pStyle w:val="60"/>
              <w:ind w:firstLine="0" w:firstLineChars="0"/>
              <w:jc w:val="center"/>
              <w:rPr>
                <w:rFonts w:ascii="Times New Roman"/>
                <w:sz w:val="18"/>
                <w:szCs w:val="18"/>
              </w:rPr>
            </w:pPr>
            <w:r>
              <w:rPr>
                <w:rFonts w:ascii="Times New Roman"/>
                <w:sz w:val="18"/>
                <w:szCs w:val="18"/>
              </w:rPr>
              <w:t>DML\DQL适配</w:t>
            </w:r>
          </w:p>
        </w:tc>
        <w:tc>
          <w:tcPr>
            <w:tcW w:w="1600" w:type="dxa"/>
            <w:tcBorders>
              <w:top w:val="single" w:color="auto" w:sz="8" w:space="0"/>
            </w:tcBorders>
            <w:shd w:val="clear" w:color="auto" w:fill="auto"/>
            <w:vAlign w:val="center"/>
          </w:tcPr>
          <w:p>
            <w:pPr>
              <w:pStyle w:val="60"/>
              <w:ind w:firstLine="0" w:firstLineChars="0"/>
              <w:jc w:val="center"/>
              <w:rPr>
                <w:rFonts w:ascii="Times New Roman"/>
                <w:sz w:val="18"/>
                <w:szCs w:val="18"/>
              </w:rPr>
            </w:pPr>
            <w:r>
              <w:rPr>
                <w:rFonts w:ascii="Times New Roman"/>
                <w:sz w:val="18"/>
                <w:szCs w:val="18"/>
              </w:rPr>
              <w:t>1～2</w:t>
            </w:r>
          </w:p>
        </w:tc>
        <w:tc>
          <w:tcPr>
            <w:tcW w:w="5568" w:type="dxa"/>
            <w:tcBorders>
              <w:top w:val="single" w:color="auto" w:sz="8" w:space="0"/>
            </w:tcBorders>
            <w:shd w:val="clear" w:color="auto" w:fill="auto"/>
          </w:tcPr>
          <w:p>
            <w:pPr>
              <w:pStyle w:val="60"/>
              <w:ind w:firstLine="180" w:firstLineChars="100"/>
              <w:rPr>
                <w:rFonts w:ascii="Times New Roman"/>
                <w:sz w:val="18"/>
                <w:szCs w:val="18"/>
              </w:rPr>
            </w:pPr>
            <w:r>
              <w:rPr>
                <w:rFonts w:ascii="Times New Roman"/>
                <w:sz w:val="18"/>
                <w:szCs w:val="18"/>
              </w:rPr>
              <w:t>估算时以要适配应用程序的SQL语句为计数范围，每个计为1个计数项</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2178" w:type="dxa"/>
            <w:shd w:val="clear" w:color="auto" w:fill="auto"/>
            <w:vAlign w:val="center"/>
          </w:tcPr>
          <w:p>
            <w:pPr>
              <w:pStyle w:val="60"/>
              <w:ind w:firstLine="0" w:firstLineChars="0"/>
              <w:jc w:val="center"/>
              <w:rPr>
                <w:rFonts w:ascii="Times New Roman"/>
                <w:sz w:val="18"/>
                <w:szCs w:val="18"/>
              </w:rPr>
            </w:pPr>
            <w:r>
              <w:rPr>
                <w:rFonts w:ascii="Times New Roman"/>
                <w:sz w:val="18"/>
                <w:szCs w:val="18"/>
              </w:rPr>
              <w:t>DDL适配</w:t>
            </w:r>
          </w:p>
        </w:tc>
        <w:tc>
          <w:tcPr>
            <w:tcW w:w="1600" w:type="dxa"/>
            <w:shd w:val="clear" w:color="auto" w:fill="auto"/>
            <w:vAlign w:val="center"/>
          </w:tcPr>
          <w:p>
            <w:pPr>
              <w:pStyle w:val="60"/>
              <w:ind w:firstLine="0" w:firstLineChars="0"/>
              <w:jc w:val="center"/>
              <w:rPr>
                <w:rFonts w:ascii="Times New Roman"/>
                <w:sz w:val="18"/>
                <w:szCs w:val="18"/>
              </w:rPr>
            </w:pPr>
            <w:r>
              <w:rPr>
                <w:rFonts w:ascii="Times New Roman"/>
                <w:sz w:val="18"/>
                <w:szCs w:val="18"/>
              </w:rPr>
              <w:t>1～3</w:t>
            </w:r>
          </w:p>
        </w:tc>
        <w:tc>
          <w:tcPr>
            <w:tcW w:w="5568" w:type="dxa"/>
            <w:shd w:val="clear" w:color="auto" w:fill="auto"/>
          </w:tcPr>
          <w:p>
            <w:pPr>
              <w:pStyle w:val="60"/>
              <w:ind w:firstLine="180" w:firstLineChars="100"/>
              <w:rPr>
                <w:rFonts w:ascii="Times New Roman"/>
                <w:sz w:val="18"/>
                <w:szCs w:val="18"/>
              </w:rPr>
            </w:pPr>
            <w:r>
              <w:rPr>
                <w:rFonts w:ascii="Times New Roman"/>
                <w:sz w:val="18"/>
                <w:szCs w:val="18"/>
              </w:rPr>
              <w:t>估算时以要适配的存储过程、函数、视图等为计数范围，每个计为1个计数项</w:t>
            </w:r>
          </w:p>
        </w:tc>
      </w:tr>
    </w:tbl>
    <w:p>
      <w:pPr>
        <w:pStyle w:val="82"/>
        <w:spacing w:before="156" w:after="156"/>
        <w:rPr>
          <w:rFonts w:ascii="Times New Roman"/>
        </w:rPr>
      </w:pPr>
      <w:bookmarkStart w:id="234" w:name="_Toc185238824"/>
      <w:bookmarkStart w:id="235" w:name="_Toc8110"/>
      <w:bookmarkStart w:id="236" w:name="_Toc164340107"/>
      <w:r>
        <w:rPr>
          <w:rFonts w:ascii="Times New Roman"/>
        </w:rPr>
        <w:t>浏览器适配（界面类型）</w:t>
      </w:r>
      <w:bookmarkEnd w:id="234"/>
      <w:bookmarkEnd w:id="235"/>
      <w:bookmarkEnd w:id="236"/>
    </w:p>
    <w:p>
      <w:pPr>
        <w:pStyle w:val="60"/>
        <w:ind w:firstLine="420"/>
        <w:jc w:val="left"/>
        <w:rPr>
          <w:rFonts w:ascii="Times New Roman"/>
        </w:rPr>
      </w:pPr>
      <w:r>
        <w:rPr>
          <w:rFonts w:ascii="Times New Roman"/>
        </w:rPr>
        <w:t>一般包括逐个检查定制软件客户端页面功能是否正常，并针对不正常功能进行调整，如涉及国密的应重点关注验证整个国密处理过程。在进行浏览器适配估算时，主要是对待改造系统的CSS文件个数、JS文件个数以及国密改造的相关页面个数进行计数，其中每种计数项代表的AP点数如表A.3所示。</w:t>
      </w:r>
    </w:p>
    <w:p>
      <w:pPr>
        <w:widowControl/>
        <w:adjustRightInd/>
        <w:spacing w:line="240" w:lineRule="auto"/>
        <w:jc w:val="left"/>
        <w:rPr>
          <w:rFonts w:ascii="Times New Roman" w:hAnsi="Times New Roman"/>
          <w:kern w:val="0"/>
          <w:szCs w:val="20"/>
        </w:rPr>
      </w:pPr>
      <w:r>
        <w:rPr>
          <w:rFonts w:ascii="Times New Roman" w:hAnsi="Times New Roman"/>
        </w:rPr>
        <w:br w:type="page"/>
      </w:r>
    </w:p>
    <w:p>
      <w:pPr>
        <w:pStyle w:val="81"/>
        <w:numPr>
          <w:ilvl w:val="0"/>
          <w:numId w:val="0"/>
        </w:numPr>
        <w:spacing w:before="156" w:after="156"/>
        <w:rPr>
          <w:rFonts w:ascii="Times New Roman"/>
        </w:rPr>
      </w:pPr>
      <w:r>
        <w:rPr>
          <w:rFonts w:ascii="Times New Roman"/>
        </w:rPr>
        <w:t>表A.3  浏览器适配计数</w:t>
      </w:r>
    </w:p>
    <w:tbl>
      <w:tblPr>
        <w:tblStyle w:val="29"/>
        <w:tblW w:w="9346" w:type="dxa"/>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2178"/>
        <w:gridCol w:w="1600"/>
        <w:gridCol w:w="5568"/>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178"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计数项类型</w:t>
            </w:r>
          </w:p>
        </w:tc>
        <w:tc>
          <w:tcPr>
            <w:tcW w:w="1600"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AP/个计数项</w:t>
            </w:r>
          </w:p>
        </w:tc>
        <w:tc>
          <w:tcPr>
            <w:tcW w:w="5568"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2178" w:type="dxa"/>
            <w:shd w:val="clear" w:color="auto" w:fill="auto"/>
            <w:vAlign w:val="center"/>
          </w:tcPr>
          <w:p>
            <w:pPr>
              <w:pStyle w:val="60"/>
              <w:ind w:firstLine="0" w:firstLineChars="0"/>
              <w:jc w:val="center"/>
              <w:rPr>
                <w:rFonts w:ascii="Times New Roman"/>
                <w:sz w:val="18"/>
                <w:szCs w:val="18"/>
              </w:rPr>
            </w:pPr>
            <w:r>
              <w:rPr>
                <w:rFonts w:ascii="Times New Roman"/>
                <w:sz w:val="18"/>
                <w:szCs w:val="18"/>
              </w:rPr>
              <w:t>适配改造相关页面</w:t>
            </w:r>
          </w:p>
        </w:tc>
        <w:tc>
          <w:tcPr>
            <w:tcW w:w="1600" w:type="dxa"/>
            <w:shd w:val="clear" w:color="auto" w:fill="auto"/>
            <w:vAlign w:val="center"/>
          </w:tcPr>
          <w:p>
            <w:pPr>
              <w:pStyle w:val="60"/>
              <w:ind w:firstLine="0" w:firstLineChars="0"/>
              <w:jc w:val="center"/>
              <w:rPr>
                <w:rFonts w:ascii="Times New Roman"/>
                <w:sz w:val="18"/>
                <w:szCs w:val="18"/>
              </w:rPr>
            </w:pPr>
            <w:r>
              <w:rPr>
                <w:rFonts w:ascii="Times New Roman"/>
                <w:sz w:val="18"/>
                <w:szCs w:val="18"/>
              </w:rPr>
              <w:t>2～3</w:t>
            </w:r>
          </w:p>
        </w:tc>
        <w:tc>
          <w:tcPr>
            <w:tcW w:w="5568" w:type="dxa"/>
            <w:shd w:val="clear" w:color="auto" w:fill="auto"/>
          </w:tcPr>
          <w:p>
            <w:pPr>
              <w:pStyle w:val="60"/>
              <w:ind w:firstLine="180" w:firstLineChars="100"/>
              <w:rPr>
                <w:rFonts w:ascii="Times New Roman"/>
                <w:sz w:val="18"/>
                <w:szCs w:val="18"/>
              </w:rPr>
            </w:pPr>
            <w:r>
              <w:rPr>
                <w:rFonts w:ascii="Times New Roman"/>
                <w:sz w:val="18"/>
                <w:szCs w:val="18"/>
              </w:rPr>
              <w:t>包括CSS、JS的调整优化及常见浏览器的兼容性等问题处理。估算时以要适配的原系统所涉及适配改造的页面个数为计数范围，每个页面计为1个计数项</w:t>
            </w:r>
          </w:p>
        </w:tc>
      </w:tr>
    </w:tbl>
    <w:p>
      <w:pPr>
        <w:pStyle w:val="82"/>
        <w:spacing w:before="156" w:after="156"/>
        <w:rPr>
          <w:rFonts w:ascii="Times New Roman"/>
        </w:rPr>
      </w:pPr>
      <w:bookmarkStart w:id="237" w:name="_Toc164340108"/>
      <w:bookmarkStart w:id="238" w:name="_Toc32103"/>
      <w:bookmarkStart w:id="239" w:name="_Toc185238825"/>
      <w:r>
        <w:rPr>
          <w:rFonts w:ascii="Times New Roman"/>
        </w:rPr>
        <w:t>插件适配（接口类型）</w:t>
      </w:r>
      <w:bookmarkEnd w:id="237"/>
      <w:bookmarkEnd w:id="238"/>
      <w:bookmarkEnd w:id="239"/>
    </w:p>
    <w:p>
      <w:pPr>
        <w:pStyle w:val="60"/>
        <w:ind w:firstLine="420"/>
        <w:rPr>
          <w:rFonts w:ascii="Times New Roman"/>
        </w:rPr>
      </w:pPr>
      <w:r>
        <w:rPr>
          <w:rFonts w:ascii="Times New Roman"/>
        </w:rPr>
        <w:t>涉及插件的功能应在多个浏览器、底层操作系统交叉环境的终端下进行验证，并对原有系统使用IE ActiveX插件或采用国产的插件（或软件模块）替代后的相关功能应进行的修改或调整，以使其能够在信创的平台或环境中正常运行并发挥最佳效果，见表A.4。</w:t>
      </w:r>
    </w:p>
    <w:p>
      <w:pPr>
        <w:pStyle w:val="81"/>
        <w:numPr>
          <w:ilvl w:val="0"/>
          <w:numId w:val="0"/>
        </w:numPr>
        <w:spacing w:before="156" w:after="156"/>
        <w:rPr>
          <w:rFonts w:ascii="Times New Roman"/>
        </w:rPr>
      </w:pPr>
      <w:r>
        <w:rPr>
          <w:rFonts w:ascii="Times New Roman"/>
        </w:rPr>
        <w:t>表A.4  插件适配计数</w:t>
      </w:r>
    </w:p>
    <w:tbl>
      <w:tblPr>
        <w:tblStyle w:val="29"/>
        <w:tblW w:w="9346" w:type="dxa"/>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2178"/>
        <w:gridCol w:w="1600"/>
        <w:gridCol w:w="5568"/>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PrEx>
        <w:trPr>
          <w:trHeight w:val="372" w:hRule="atLeast"/>
        </w:trPr>
        <w:tc>
          <w:tcPr>
            <w:tcW w:w="2178"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计数项类型</w:t>
            </w:r>
          </w:p>
        </w:tc>
        <w:tc>
          <w:tcPr>
            <w:tcW w:w="1600"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AP/个计数项</w:t>
            </w:r>
          </w:p>
        </w:tc>
        <w:tc>
          <w:tcPr>
            <w:tcW w:w="5568" w:type="dxa"/>
            <w:tcBorders>
              <w:top w:val="single" w:color="auto" w:sz="8" w:space="0"/>
              <w:bottom w:val="single" w:color="auto" w:sz="8" w:space="0"/>
            </w:tcBorders>
            <w:shd w:val="clear" w:color="auto" w:fill="auto"/>
          </w:tcPr>
          <w:p>
            <w:pPr>
              <w:pStyle w:val="60"/>
              <w:ind w:firstLine="0" w:firstLineChars="0"/>
              <w:jc w:val="center"/>
              <w:rPr>
                <w:rFonts w:ascii="Times New Roman"/>
                <w:sz w:val="18"/>
                <w:szCs w:val="18"/>
              </w:rPr>
            </w:pPr>
            <w:r>
              <w:rPr>
                <w:rFonts w:ascii="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2178" w:type="dxa"/>
            <w:tcBorders>
              <w:top w:val="single" w:color="auto" w:sz="8" w:space="0"/>
              <w:bottom w:val="single" w:color="auto" w:sz="8" w:space="0"/>
            </w:tcBorders>
            <w:shd w:val="clear" w:color="auto" w:fill="auto"/>
            <w:vAlign w:val="center"/>
          </w:tcPr>
          <w:p>
            <w:pPr>
              <w:pStyle w:val="60"/>
              <w:ind w:firstLine="0" w:firstLineChars="0"/>
              <w:jc w:val="center"/>
              <w:rPr>
                <w:rFonts w:ascii="Times New Roman"/>
                <w:sz w:val="18"/>
                <w:szCs w:val="18"/>
              </w:rPr>
            </w:pPr>
            <w:r>
              <w:rPr>
                <w:rFonts w:ascii="Times New Roman"/>
                <w:sz w:val="18"/>
                <w:szCs w:val="18"/>
              </w:rPr>
              <w:t>插件</w:t>
            </w:r>
          </w:p>
        </w:tc>
        <w:tc>
          <w:tcPr>
            <w:tcW w:w="1600" w:type="dxa"/>
            <w:tcBorders>
              <w:top w:val="single" w:color="auto" w:sz="8" w:space="0"/>
              <w:bottom w:val="single" w:color="auto" w:sz="8" w:space="0"/>
            </w:tcBorders>
            <w:shd w:val="clear" w:color="auto" w:fill="auto"/>
            <w:vAlign w:val="center"/>
          </w:tcPr>
          <w:p>
            <w:pPr>
              <w:pStyle w:val="60"/>
              <w:ind w:firstLine="0" w:firstLineChars="0"/>
              <w:jc w:val="center"/>
              <w:rPr>
                <w:rFonts w:ascii="Times New Roman"/>
                <w:sz w:val="18"/>
                <w:szCs w:val="18"/>
              </w:rPr>
            </w:pPr>
            <w:r>
              <w:rPr>
                <w:rFonts w:ascii="Times New Roman"/>
                <w:sz w:val="18"/>
                <w:szCs w:val="18"/>
              </w:rPr>
              <w:t>3～8</w:t>
            </w:r>
          </w:p>
        </w:tc>
        <w:tc>
          <w:tcPr>
            <w:tcW w:w="5568" w:type="dxa"/>
            <w:tcBorders>
              <w:top w:val="single" w:color="auto" w:sz="8" w:space="0"/>
              <w:bottom w:val="single" w:color="auto" w:sz="8" w:space="0"/>
            </w:tcBorders>
            <w:shd w:val="clear" w:color="auto" w:fill="auto"/>
          </w:tcPr>
          <w:p>
            <w:pPr>
              <w:pStyle w:val="60"/>
              <w:ind w:firstLine="180" w:firstLineChars="100"/>
              <w:rPr>
                <w:rFonts w:ascii="Times New Roman"/>
                <w:sz w:val="18"/>
                <w:szCs w:val="18"/>
              </w:rPr>
            </w:pPr>
            <w:r>
              <w:rPr>
                <w:rFonts w:ascii="Times New Roman"/>
                <w:sz w:val="18"/>
                <w:szCs w:val="18"/>
              </w:rPr>
              <w:t>估算时以要适配的系统原插件总数为计数范围，每个插件计为1个计数项</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93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pStyle w:val="183"/>
              <w:rPr>
                <w:rFonts w:ascii="Times New Roman"/>
              </w:rPr>
            </w:pPr>
            <w:r>
              <w:rPr>
                <w:rFonts w:ascii="Times New Roman"/>
              </w:rPr>
              <w:t>如待适配系统多个功能调用同一个插件，不同功能采用不同的改造方案，则按照不同插件分别计数。</w:t>
            </w:r>
          </w:p>
        </w:tc>
      </w:tr>
    </w:tbl>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60"/>
        <w:ind w:firstLine="420"/>
        <w:rPr>
          <w:rFonts w:ascii="Times New Roman"/>
        </w:rPr>
      </w:pPr>
    </w:p>
    <w:p>
      <w:pPr>
        <w:pStyle w:val="202"/>
      </w:pPr>
      <w:bookmarkStart w:id="240" w:name="_Toc185238788"/>
      <w:bookmarkStart w:id="241" w:name="_Toc185238830"/>
      <w:bookmarkStart w:id="242" w:name="_Toc5409"/>
      <w:r>
        <w:tab/>
      </w:r>
      <w:r>
        <w:tab/>
      </w:r>
      <w:r>
        <w:t>参考文献</w:t>
      </w:r>
      <w:bookmarkEnd w:id="240"/>
      <w:bookmarkEnd w:id="241"/>
      <w:bookmarkEnd w:id="242"/>
    </w:p>
    <w:p>
      <w:pPr>
        <w:widowControl/>
        <w:adjustRightInd/>
        <w:spacing w:line="240" w:lineRule="auto"/>
        <w:jc w:val="left"/>
        <w:rPr>
          <w:rFonts w:ascii="Times New Roman" w:hAnsi="Times New Roman"/>
        </w:rPr>
      </w:pPr>
      <w:r>
        <w:rPr>
          <w:rFonts w:ascii="Times New Roman" w:hAnsi="Times New Roman"/>
        </w:rPr>
        <w:br w:type="page"/>
      </w:r>
    </w:p>
    <w:p>
      <w:pPr>
        <w:pStyle w:val="203"/>
        <w:rPr>
          <w:vanish w:val="0"/>
        </w:rPr>
      </w:pPr>
    </w:p>
    <w:p>
      <w:pPr>
        <w:pStyle w:val="80"/>
        <w:spacing w:after="156"/>
        <w:rPr>
          <w:rFonts w:hint="eastAsia"/>
        </w:rPr>
      </w:pPr>
      <w:r>
        <w:br w:type="textWrapping"/>
      </w:r>
      <w:r>
        <w:rPr>
          <w:rFonts w:hint="eastAsia"/>
        </w:rPr>
        <w:t>（资料性）</w:t>
      </w:r>
      <w:r>
        <w:br w:type="textWrapping"/>
      </w:r>
      <w:r>
        <w:rPr>
          <w:rFonts w:hint="eastAsia"/>
        </w:rPr>
        <w:t>测算参考基准数据</w:t>
      </w:r>
    </w:p>
    <w:p>
      <w:pPr>
        <w:pStyle w:val="82"/>
        <w:spacing w:before="156" w:after="156"/>
        <w:ind w:firstLine="360"/>
        <w:rPr>
          <w:rFonts w:ascii="Times New Roman"/>
        </w:rPr>
      </w:pPr>
      <w:bookmarkStart w:id="243" w:name="_Toc185238828"/>
      <w:bookmarkStart w:id="244" w:name="_Toc3955"/>
      <w:r>
        <w:rPr>
          <w:rFonts w:ascii="Times New Roman"/>
        </w:rPr>
        <w:t>适配改造类工作生产率基准数据</w:t>
      </w:r>
      <w:bookmarkEnd w:id="243"/>
      <w:bookmarkEnd w:id="244"/>
    </w:p>
    <w:p>
      <w:pPr>
        <w:pStyle w:val="60"/>
        <w:ind w:firstLine="420"/>
        <w:rPr>
          <w:rFonts w:ascii="Times New Roman"/>
        </w:rPr>
      </w:pPr>
      <w:r>
        <w:rPr>
          <w:rFonts w:ascii="Times New Roman"/>
        </w:rPr>
        <w:t>表C.1中的生产率基准是基于除安装配置类及数据迁移类工作以外，应用软件适配改造项目的所有工作内容统计得出。</w:t>
      </w:r>
    </w:p>
    <w:p>
      <w:pPr>
        <w:pStyle w:val="81"/>
        <w:numPr>
          <w:ilvl w:val="0"/>
          <w:numId w:val="0"/>
        </w:numPr>
        <w:spacing w:before="156" w:after="156"/>
        <w:rPr>
          <w:rFonts w:ascii="Times New Roman"/>
        </w:rPr>
      </w:pPr>
      <w:r>
        <w:rPr>
          <w:rFonts w:ascii="Times New Roman"/>
        </w:rPr>
        <w:t>表</w:t>
      </w:r>
      <w:r>
        <w:rPr>
          <w:rFonts w:hint="eastAsia" w:ascii="Times New Roman"/>
        </w:rPr>
        <w:t>B</w:t>
      </w:r>
      <w:r>
        <w:rPr>
          <w:rFonts w:ascii="Times New Roman"/>
        </w:rPr>
        <w:t>.1  生产率基准数据（人时/AP）</w:t>
      </w:r>
    </w:p>
    <w:tbl>
      <w:tblPr>
        <w:tblStyle w:val="29"/>
        <w:tblW w:w="9292" w:type="dxa"/>
        <w:tblInd w:w="0" w:type="dxa"/>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1664"/>
        <w:gridCol w:w="1914"/>
        <w:gridCol w:w="1914"/>
        <w:gridCol w:w="1914"/>
        <w:gridCol w:w="1886"/>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c>
          <w:tcPr>
            <w:tcW w:w="166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P10</w:t>
            </w:r>
          </w:p>
        </w:tc>
        <w:tc>
          <w:tcPr>
            <w:tcW w:w="191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P25</w:t>
            </w:r>
          </w:p>
        </w:tc>
        <w:tc>
          <w:tcPr>
            <w:tcW w:w="191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P50</w:t>
            </w:r>
          </w:p>
        </w:tc>
        <w:tc>
          <w:tcPr>
            <w:tcW w:w="191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P75</w:t>
            </w:r>
          </w:p>
        </w:tc>
        <w:tc>
          <w:tcPr>
            <w:tcW w:w="1886"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P90</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166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2.02</w:t>
            </w:r>
          </w:p>
        </w:tc>
        <w:tc>
          <w:tcPr>
            <w:tcW w:w="191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4.65</w:t>
            </w:r>
          </w:p>
        </w:tc>
        <w:tc>
          <w:tcPr>
            <w:tcW w:w="191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7.08</w:t>
            </w:r>
          </w:p>
        </w:tc>
        <w:tc>
          <w:tcPr>
            <w:tcW w:w="1914"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14.27</w:t>
            </w:r>
          </w:p>
        </w:tc>
        <w:tc>
          <w:tcPr>
            <w:tcW w:w="1886" w:type="dxa"/>
            <w:tcBorders>
              <w:top w:val="single" w:color="auto" w:sz="8" w:space="0"/>
              <w:bottom w:val="single" w:color="auto" w:sz="8" w:space="0"/>
            </w:tcBorders>
            <w:shd w:val="clear" w:color="auto" w:fill="auto"/>
          </w:tcPr>
          <w:p>
            <w:pPr>
              <w:pStyle w:val="60"/>
              <w:ind w:firstLine="420"/>
              <w:jc w:val="center"/>
              <w:rPr>
                <w:rFonts w:ascii="Times New Roman"/>
              </w:rPr>
            </w:pPr>
            <w:r>
              <w:rPr>
                <w:rFonts w:ascii="Times New Roman"/>
              </w:rPr>
              <w:t>18.98</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366" w:hRule="atLeast"/>
        </w:trPr>
        <w:tc>
          <w:tcPr>
            <w:tcW w:w="9292" w:type="dxa"/>
            <w:gridSpan w:val="5"/>
            <w:tcBorders>
              <w:top w:val="single" w:color="auto" w:sz="8" w:space="0"/>
              <w:bottom w:val="single" w:color="auto" w:sz="8" w:space="0"/>
            </w:tcBorders>
            <w:shd w:val="clear" w:color="auto" w:fill="auto"/>
          </w:tcPr>
          <w:p>
            <w:pPr>
              <w:pStyle w:val="183"/>
              <w:rPr>
                <w:rFonts w:ascii="Times New Roman"/>
              </w:rPr>
            </w:pPr>
            <w:r>
              <w:rPr>
                <w:rFonts w:ascii="Times New Roman"/>
              </w:rPr>
              <w:t>以上数据摘自中国软件行业协会软件造价分会发布的《中国软件行业基准数据报告（SSM-BK-2024）》。</w:t>
            </w:r>
          </w:p>
        </w:tc>
      </w:tr>
    </w:tbl>
    <w:p>
      <w:pPr>
        <w:pStyle w:val="82"/>
        <w:spacing w:before="156" w:after="156"/>
        <w:ind w:firstLine="360"/>
        <w:rPr>
          <w:rFonts w:ascii="Times New Roman"/>
        </w:rPr>
      </w:pPr>
      <w:bookmarkStart w:id="245" w:name="_Toc25757"/>
      <w:bookmarkStart w:id="246" w:name="_Toc185238829"/>
      <w:r>
        <w:rPr>
          <w:rFonts w:ascii="Times New Roman"/>
        </w:rPr>
        <w:t>适配改造项目测算示例</w:t>
      </w:r>
      <w:bookmarkEnd w:id="245"/>
      <w:bookmarkEnd w:id="246"/>
    </w:p>
    <w:p>
      <w:pPr>
        <w:pStyle w:val="60"/>
        <w:ind w:firstLine="420"/>
        <w:rPr>
          <w:rFonts w:ascii="Times New Roman"/>
        </w:rPr>
      </w:pPr>
      <w:r>
        <w:rPr>
          <w:rFonts w:ascii="Times New Roman"/>
        </w:rPr>
        <w:t>某应用软件信创适配改造项目经过初步需求分析，确定该项目可以基于现有应用软件程序代码进行信创适配，适配的工作内容主要包括浏览器适配、中间件适配以及数据库适配。适配改造工作规模计数假设见表C.2。</w:t>
      </w:r>
    </w:p>
    <w:p>
      <w:pPr>
        <w:pStyle w:val="81"/>
        <w:numPr>
          <w:ilvl w:val="0"/>
          <w:numId w:val="0"/>
        </w:numPr>
        <w:spacing w:before="156" w:after="156"/>
        <w:rPr>
          <w:rFonts w:ascii="Times New Roman"/>
        </w:rPr>
      </w:pPr>
      <w:bookmarkStart w:id="249" w:name="_GoBack"/>
      <w:bookmarkEnd w:id="249"/>
      <w:r>
        <w:rPr>
          <w:rFonts w:ascii="Times New Roman"/>
        </w:rPr>
        <w:t>表</w:t>
      </w:r>
      <w:r>
        <w:rPr>
          <w:rFonts w:hint="eastAsia" w:ascii="Times New Roman"/>
        </w:rPr>
        <w:t>B</w:t>
      </w:r>
      <w:r>
        <w:rPr>
          <w:rFonts w:ascii="Times New Roman"/>
        </w:rPr>
        <w:t>.2  适配改造工作规模计数假设</w:t>
      </w:r>
    </w:p>
    <w:tbl>
      <w:tblPr>
        <w:tblStyle w:val="29"/>
        <w:tblW w:w="4854" w:type="pct"/>
        <w:tblInd w:w="0" w:type="dxa"/>
        <w:tblLayout w:type="autofit"/>
        <w:tblCellMar>
          <w:top w:w="0" w:type="dxa"/>
          <w:left w:w="108" w:type="dxa"/>
          <w:bottom w:w="0" w:type="dxa"/>
          <w:right w:w="108" w:type="dxa"/>
        </w:tblCellMar>
      </w:tblPr>
      <w:tblGrid>
        <w:gridCol w:w="1879"/>
        <w:gridCol w:w="2473"/>
        <w:gridCol w:w="1163"/>
        <w:gridCol w:w="1600"/>
        <w:gridCol w:w="2176"/>
      </w:tblGrid>
      <w:tr>
        <w:tblPrEx>
          <w:tblCellMar>
            <w:top w:w="0" w:type="dxa"/>
            <w:left w:w="108" w:type="dxa"/>
            <w:bottom w:w="0" w:type="dxa"/>
            <w:right w:w="108" w:type="dxa"/>
          </w:tblCellMar>
        </w:tblPrEx>
        <w:tc>
          <w:tcPr>
            <w:tcW w:w="1011" w:type="pct"/>
            <w:tcBorders>
              <w:top w:val="single" w:color="auto" w:sz="8" w:space="0"/>
              <w:left w:val="single" w:color="auto" w:sz="8" w:space="0"/>
              <w:bottom w:val="single" w:color="auto" w:sz="8"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适配工作类型</w:t>
            </w:r>
          </w:p>
        </w:tc>
        <w:tc>
          <w:tcPr>
            <w:tcW w:w="1331" w:type="pct"/>
            <w:tcBorders>
              <w:top w:val="single" w:color="auto" w:sz="8" w:space="0"/>
              <w:left w:val="single" w:color="000000" w:sz="4" w:space="0"/>
              <w:bottom w:val="single" w:color="auto" w:sz="8"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计数类型</w:t>
            </w:r>
          </w:p>
        </w:tc>
        <w:tc>
          <w:tcPr>
            <w:tcW w:w="626" w:type="pct"/>
            <w:tcBorders>
              <w:top w:val="single" w:color="auto" w:sz="8" w:space="0"/>
              <w:left w:val="single" w:color="000000" w:sz="4" w:space="0"/>
              <w:bottom w:val="single" w:color="auto" w:sz="8"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个数</w:t>
            </w:r>
          </w:p>
        </w:tc>
        <w:tc>
          <w:tcPr>
            <w:tcW w:w="861" w:type="pct"/>
            <w:tcBorders>
              <w:top w:val="single" w:color="auto" w:sz="8" w:space="0"/>
              <w:left w:val="single" w:color="000000" w:sz="4" w:space="0"/>
              <w:bottom w:val="single" w:color="auto" w:sz="8"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适配点（AP）数</w:t>
            </w:r>
          </w:p>
        </w:tc>
        <w:tc>
          <w:tcPr>
            <w:tcW w:w="1171" w:type="pct"/>
            <w:tcBorders>
              <w:top w:val="single" w:color="auto" w:sz="8" w:space="0"/>
              <w:left w:val="single" w:color="000000" w:sz="4" w:space="0"/>
              <w:bottom w:val="single" w:color="auto" w:sz="8" w:space="0"/>
              <w:right w:val="single" w:color="auto" w:sz="8"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备注</w:t>
            </w:r>
          </w:p>
        </w:tc>
      </w:tr>
      <w:tr>
        <w:tblPrEx>
          <w:tblCellMar>
            <w:top w:w="0" w:type="dxa"/>
            <w:left w:w="108" w:type="dxa"/>
            <w:bottom w:w="0" w:type="dxa"/>
            <w:right w:w="108" w:type="dxa"/>
          </w:tblCellMar>
        </w:tblPrEx>
        <w:tc>
          <w:tcPr>
            <w:tcW w:w="1011" w:type="pct"/>
            <w:vMerge w:val="restart"/>
            <w:tcBorders>
              <w:top w:val="single" w:color="auto"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中间件适配</w:t>
            </w:r>
          </w:p>
        </w:tc>
        <w:tc>
          <w:tcPr>
            <w:tcW w:w="1331"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配置文件</w:t>
            </w:r>
          </w:p>
        </w:tc>
        <w:tc>
          <w:tcPr>
            <w:tcW w:w="626"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4</w:t>
            </w:r>
          </w:p>
        </w:tc>
        <w:tc>
          <w:tcPr>
            <w:tcW w:w="861" w:type="pct"/>
            <w:tcBorders>
              <w:top w:val="single" w:color="auto"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1171" w:type="pct"/>
            <w:tcBorders>
              <w:top w:val="single" w:color="auto"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每个取值为0.75</w:t>
            </w:r>
          </w:p>
        </w:tc>
      </w:tr>
      <w:tr>
        <w:tblPrEx>
          <w:tblCellMar>
            <w:top w:w="0" w:type="dxa"/>
            <w:left w:w="108" w:type="dxa"/>
            <w:bottom w:w="0" w:type="dxa"/>
            <w:right w:w="108" w:type="dxa"/>
          </w:tblCellMar>
        </w:tblPrEx>
        <w:tc>
          <w:tcPr>
            <w:tcW w:w="101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Times New Roman" w:hAnsi="Times New Roman"/>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接口</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35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52.5</w:t>
            </w:r>
          </w:p>
        </w:tc>
        <w:tc>
          <w:tcPr>
            <w:tcW w:w="1171" w:type="pc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每个取值为1.5</w:t>
            </w:r>
          </w:p>
        </w:tc>
      </w:tr>
      <w:tr>
        <w:tblPrEx>
          <w:tblCellMar>
            <w:top w:w="0" w:type="dxa"/>
            <w:left w:w="108" w:type="dxa"/>
            <w:bottom w:w="0" w:type="dxa"/>
            <w:right w:w="108" w:type="dxa"/>
          </w:tblCellMar>
        </w:tblPrEx>
        <w:tc>
          <w:tcPr>
            <w:tcW w:w="1011"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数据库适配</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DML\DQL</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90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135</w:t>
            </w:r>
          </w:p>
        </w:tc>
        <w:tc>
          <w:tcPr>
            <w:tcW w:w="1171" w:type="pc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每个取值为1.5</w:t>
            </w:r>
          </w:p>
        </w:tc>
      </w:tr>
      <w:tr>
        <w:tblPrEx>
          <w:tblCellMar>
            <w:top w:w="0" w:type="dxa"/>
            <w:left w:w="108" w:type="dxa"/>
            <w:bottom w:w="0" w:type="dxa"/>
            <w:right w:w="108" w:type="dxa"/>
          </w:tblCellMar>
        </w:tblPrEx>
        <w:tc>
          <w:tcPr>
            <w:tcW w:w="1011"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Times New Roman" w:hAnsi="Times New Roman"/>
                <w:sz w:val="18"/>
                <w:szCs w:val="18"/>
              </w:rPr>
            </w:pP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DDL</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1171" w:type="pc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每个取值为2</w:t>
            </w:r>
          </w:p>
        </w:tc>
      </w:tr>
      <w:tr>
        <w:tblPrEx>
          <w:tblCellMar>
            <w:top w:w="0" w:type="dxa"/>
            <w:left w:w="108" w:type="dxa"/>
            <w:bottom w:w="0" w:type="dxa"/>
            <w:right w:w="108" w:type="dxa"/>
          </w:tblCellMar>
        </w:tblPrEx>
        <w:tc>
          <w:tcPr>
            <w:tcW w:w="1011"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浏览器适配</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适配改造相关页面</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20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50</w:t>
            </w:r>
          </w:p>
        </w:tc>
        <w:tc>
          <w:tcPr>
            <w:tcW w:w="1171" w:type="pc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每个取值为2.5</w:t>
            </w:r>
          </w:p>
        </w:tc>
      </w:tr>
      <w:tr>
        <w:tblPrEx>
          <w:tblCellMar>
            <w:top w:w="0" w:type="dxa"/>
            <w:left w:w="108" w:type="dxa"/>
            <w:bottom w:w="0" w:type="dxa"/>
            <w:right w:w="108" w:type="dxa"/>
          </w:tblCellMar>
        </w:tblPrEx>
        <w:tc>
          <w:tcPr>
            <w:tcW w:w="1011" w:type="pc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插件</w:t>
            </w:r>
          </w:p>
        </w:tc>
        <w:tc>
          <w:tcPr>
            <w:tcW w:w="1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插件</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16.5</w:t>
            </w:r>
          </w:p>
        </w:tc>
        <w:tc>
          <w:tcPr>
            <w:tcW w:w="1171" w:type="pct"/>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每个取值为5.5</w:t>
            </w:r>
          </w:p>
        </w:tc>
      </w:tr>
      <w:tr>
        <w:tblPrEx>
          <w:tblCellMar>
            <w:top w:w="0" w:type="dxa"/>
            <w:left w:w="108" w:type="dxa"/>
            <w:bottom w:w="0" w:type="dxa"/>
            <w:right w:w="108" w:type="dxa"/>
          </w:tblCellMar>
        </w:tblPrEx>
        <w:tc>
          <w:tcPr>
            <w:tcW w:w="2968" w:type="pct"/>
            <w:gridSpan w:val="3"/>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汇总</w:t>
            </w:r>
          </w:p>
        </w:tc>
        <w:tc>
          <w:tcPr>
            <w:tcW w:w="861"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Times New Roman" w:hAnsi="Times New Roman"/>
                <w:sz w:val="18"/>
                <w:szCs w:val="18"/>
              </w:rPr>
            </w:pPr>
            <w:r>
              <w:rPr>
                <w:rFonts w:ascii="Times New Roman" w:hAnsi="Times New Roman"/>
                <w:kern w:val="0"/>
                <w:sz w:val="18"/>
                <w:szCs w:val="18"/>
                <w:lang w:bidi="ar"/>
              </w:rPr>
              <w:t>277.00</w:t>
            </w:r>
          </w:p>
        </w:tc>
        <w:tc>
          <w:tcPr>
            <w:tcW w:w="1171" w:type="pct"/>
            <w:tcBorders>
              <w:top w:val="nil"/>
              <w:left w:val="nil"/>
              <w:bottom w:val="single" w:color="000000" w:sz="8" w:space="0"/>
              <w:right w:val="single" w:color="000000" w:sz="8" w:space="0"/>
            </w:tcBorders>
            <w:shd w:val="clear" w:color="auto" w:fill="auto"/>
            <w:noWrap/>
            <w:vAlign w:val="center"/>
          </w:tcPr>
          <w:p>
            <w:pPr>
              <w:jc w:val="center"/>
              <w:rPr>
                <w:rFonts w:ascii="Times New Roman" w:hAnsi="Times New Roman"/>
                <w:sz w:val="18"/>
                <w:szCs w:val="18"/>
              </w:rPr>
            </w:pPr>
            <w:r>
              <w:rPr>
                <w:rFonts w:ascii="Times New Roman" w:hAnsi="Times New Roman"/>
                <w:sz w:val="18"/>
                <w:szCs w:val="18"/>
              </w:rPr>
              <w:t>—</w:t>
            </w:r>
          </w:p>
        </w:tc>
      </w:tr>
    </w:tbl>
    <w:p>
      <w:pPr>
        <w:pStyle w:val="60"/>
        <w:ind w:firstLine="420"/>
        <w:rPr>
          <w:rFonts w:ascii="Times New Roman"/>
        </w:rPr>
      </w:pPr>
      <w:r>
        <w:rPr>
          <w:rFonts w:ascii="Times New Roman"/>
        </w:rPr>
        <w:t>考虑需求变更因子取值1.0，则调整后规模为1.0×277＝277</w:t>
      </w:r>
    </w:p>
    <w:p>
      <w:pPr>
        <w:pStyle w:val="60"/>
        <w:ind w:firstLine="420"/>
        <w:rPr>
          <w:rFonts w:ascii="Times New Roman"/>
        </w:rPr>
      </w:pPr>
      <w:r>
        <w:rPr>
          <w:rFonts w:ascii="Times New Roman"/>
        </w:rPr>
        <w:t>适配改造项目工作量等于规模乘生产率基准，277×7.08＝1961.16（人时）（采用C.1表中生产率基准数据P50数值）</w:t>
      </w:r>
    </w:p>
    <w:p>
      <w:pPr>
        <w:pStyle w:val="60"/>
        <w:ind w:firstLine="420"/>
        <w:rPr>
          <w:rFonts w:ascii="Times New Roman"/>
        </w:rPr>
      </w:pPr>
      <w:r>
        <w:rPr>
          <w:rFonts w:ascii="Times New Roman"/>
        </w:rPr>
        <w:t>数据迁移费用采用类比法直接估算工作量为318.60人时</w:t>
      </w:r>
    </w:p>
    <w:p>
      <w:pPr>
        <w:pStyle w:val="60"/>
        <w:ind w:firstLine="420"/>
        <w:rPr>
          <w:rFonts w:ascii="Times New Roman"/>
        </w:rPr>
      </w:pPr>
      <w:r>
        <w:rPr>
          <w:rFonts w:ascii="Times New Roman"/>
        </w:rPr>
        <w:t>适配改造项目直接人力成本等于工作量乘人月费率，（1961.16＋318.60）÷8÷21.75×3.3＝43.24（万元）（人月费率取33000元/人月）</w:t>
      </w:r>
    </w:p>
    <w:p>
      <w:pPr>
        <w:pStyle w:val="60"/>
        <w:ind w:firstLine="420"/>
        <w:rPr>
          <w:rFonts w:ascii="Times New Roman"/>
        </w:rPr>
      </w:pPr>
    </w:p>
    <w:p>
      <w:pPr>
        <w:pStyle w:val="60"/>
        <w:ind w:firstLine="420"/>
      </w:pPr>
    </w:p>
    <w:p>
      <w:pPr>
        <w:pStyle w:val="60"/>
        <w:ind w:firstLine="420"/>
      </w:pPr>
    </w:p>
    <w:p>
      <w:pPr>
        <w:pStyle w:val="60"/>
        <w:ind w:firstLine="420"/>
      </w:pPr>
    </w:p>
    <w:p>
      <w:pPr>
        <w:pStyle w:val="60"/>
        <w:ind w:firstLine="420"/>
        <w:sectPr>
          <w:headerReference r:id="rId16" w:type="default"/>
          <w:footerReference r:id="rId18" w:type="default"/>
          <w:headerReference r:id="rId17" w:type="even"/>
          <w:footerReference r:id="rId19" w:type="even"/>
          <w:pgSz w:w="11906" w:h="16838"/>
          <w:pgMar w:top="1928" w:right="1134" w:bottom="1134" w:left="1134" w:header="1418" w:footer="1134" w:gutter="284"/>
          <w:pgNumType w:start="1"/>
          <w:cols w:space="425" w:num="1"/>
          <w:formProt w:val="0"/>
          <w:docGrid w:type="lines" w:linePitch="312" w:charSpace="0"/>
        </w:sectPr>
      </w:pPr>
    </w:p>
    <w:p>
      <w:pPr>
        <w:pStyle w:val="202"/>
        <w:rPr>
          <w:vanish w:val="0"/>
        </w:rPr>
      </w:pPr>
    </w:p>
    <w:p>
      <w:pPr>
        <w:pStyle w:val="203"/>
        <w:rPr>
          <w:vanish w:val="0"/>
        </w:rPr>
      </w:pPr>
    </w:p>
    <w:p>
      <w:pPr>
        <w:pStyle w:val="80"/>
        <w:spacing w:after="156"/>
        <w:rPr>
          <w:rFonts w:hint="eastAsia"/>
        </w:rPr>
      </w:pPr>
      <w:r>
        <w:br w:type="textWrapping"/>
      </w:r>
      <w:r>
        <w:rPr>
          <w:rFonts w:hint="eastAsia"/>
        </w:rPr>
        <w:t>（资料性）</w:t>
      </w:r>
      <w:r>
        <w:br w:type="textWrapping"/>
      </w:r>
      <w:r>
        <w:rPr>
          <w:rFonts w:hint="eastAsia"/>
        </w:rPr>
        <w:t>成本估算方法-比例法</w:t>
      </w:r>
    </w:p>
    <w:p>
      <w:pPr>
        <w:pStyle w:val="60"/>
        <w:ind w:firstLine="420"/>
        <w:rPr>
          <w:rFonts w:ascii="Times New Roman"/>
        </w:rPr>
      </w:pPr>
      <w:r>
        <w:rPr>
          <w:rFonts w:ascii="Times New Roman"/>
        </w:rPr>
        <w:t>用比例法估算各类工作成本示例见表</w:t>
      </w:r>
      <w:r>
        <w:rPr>
          <w:rFonts w:hint="eastAsia" w:ascii="Times New Roman"/>
        </w:rPr>
        <w:t>C</w:t>
      </w:r>
      <w:r>
        <w:rPr>
          <w:rFonts w:ascii="Times New Roman"/>
        </w:rPr>
        <w:t>.1。</w:t>
      </w:r>
    </w:p>
    <w:p>
      <w:pPr>
        <w:pStyle w:val="81"/>
        <w:numPr>
          <w:ilvl w:val="0"/>
          <w:numId w:val="0"/>
        </w:numPr>
        <w:spacing w:before="156" w:after="156"/>
        <w:rPr>
          <w:rFonts w:ascii="Times New Roman"/>
        </w:rPr>
      </w:pPr>
      <w:r>
        <w:rPr>
          <w:rFonts w:ascii="Times New Roman"/>
        </w:rPr>
        <w:t>表</w:t>
      </w:r>
      <w:r>
        <w:rPr>
          <w:rFonts w:hint="eastAsia" w:ascii="Times New Roman"/>
        </w:rPr>
        <w:t>C</w:t>
      </w:r>
      <w:r>
        <w:rPr>
          <w:rFonts w:ascii="Times New Roman"/>
        </w:rPr>
        <w:t>.1  各类工作成本估算法-比例法</w:t>
      </w:r>
    </w:p>
    <w:tbl>
      <w:tblPr>
        <w:tblStyle w:val="29"/>
        <w:tblW w:w="9268" w:type="dxa"/>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108" w:type="dxa"/>
          <w:bottom w:w="0" w:type="dxa"/>
          <w:right w:w="108" w:type="dxa"/>
        </w:tblCellMar>
      </w:tblPr>
      <w:tblGrid>
        <w:gridCol w:w="1266"/>
        <w:gridCol w:w="1559"/>
        <w:gridCol w:w="3402"/>
        <w:gridCol w:w="3041"/>
      </w:tblGrid>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266" w:type="dxa"/>
            <w:tcBorders>
              <w:top w:val="single" w:color="auto" w:sz="8" w:space="0"/>
              <w:bottom w:val="single" w:color="auto" w:sz="8" w:space="0"/>
            </w:tcBorders>
            <w:vAlign w:val="center"/>
          </w:tcPr>
          <w:p>
            <w:pPr>
              <w:pStyle w:val="60"/>
              <w:ind w:firstLine="21" w:firstLineChars="12"/>
              <w:jc w:val="center"/>
              <w:rPr>
                <w:rFonts w:ascii="Times New Roman"/>
                <w:sz w:val="18"/>
                <w:szCs w:val="18"/>
              </w:rPr>
            </w:pPr>
            <w:r>
              <w:rPr>
                <w:rFonts w:ascii="Times New Roman"/>
                <w:sz w:val="18"/>
                <w:szCs w:val="18"/>
              </w:rPr>
              <w:t>工作类别</w:t>
            </w:r>
          </w:p>
        </w:tc>
        <w:tc>
          <w:tcPr>
            <w:tcW w:w="1559" w:type="dxa"/>
            <w:tcBorders>
              <w:top w:val="single" w:color="auto" w:sz="8" w:space="0"/>
              <w:bottom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工作项</w:t>
            </w:r>
          </w:p>
        </w:tc>
        <w:tc>
          <w:tcPr>
            <w:tcW w:w="3402" w:type="dxa"/>
            <w:tcBorders>
              <w:top w:val="single" w:color="auto" w:sz="8" w:space="0"/>
              <w:bottom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成本估算方法</w:t>
            </w:r>
          </w:p>
        </w:tc>
        <w:tc>
          <w:tcPr>
            <w:tcW w:w="3041" w:type="dxa"/>
            <w:tcBorders>
              <w:top w:val="single" w:color="auto" w:sz="8" w:space="0"/>
              <w:bottom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估算说明</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tcBorders>
              <w:top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安装配置类</w:t>
            </w:r>
          </w:p>
        </w:tc>
        <w:tc>
          <w:tcPr>
            <w:tcW w:w="1559" w:type="dxa"/>
            <w:tcBorders>
              <w:top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操作系统安装、数据库安装</w:t>
            </w:r>
          </w:p>
        </w:tc>
        <w:tc>
          <w:tcPr>
            <w:tcW w:w="3402" w:type="dxa"/>
            <w:tcBorders>
              <w:top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安装费用＝安装工作量×人月费率</w:t>
            </w:r>
          </w:p>
          <w:p>
            <w:pPr>
              <w:pStyle w:val="60"/>
              <w:ind w:firstLine="0" w:firstLineChars="0"/>
              <w:jc w:val="center"/>
              <w:rPr>
                <w:rFonts w:ascii="Times New Roman"/>
                <w:sz w:val="18"/>
                <w:szCs w:val="18"/>
              </w:rPr>
            </w:pPr>
          </w:p>
        </w:tc>
        <w:tc>
          <w:tcPr>
            <w:tcW w:w="3041" w:type="dxa"/>
            <w:tcBorders>
              <w:top w:val="single" w:color="auto" w:sz="8" w:space="0"/>
            </w:tcBorders>
            <w:vAlign w:val="center"/>
          </w:tcPr>
          <w:p>
            <w:pPr>
              <w:pStyle w:val="60"/>
              <w:ind w:firstLine="180" w:firstLineChars="100"/>
              <w:rPr>
                <w:rFonts w:ascii="Times New Roman"/>
                <w:sz w:val="18"/>
                <w:szCs w:val="18"/>
              </w:rPr>
            </w:pPr>
            <w:r>
              <w:rPr>
                <w:rFonts w:ascii="Times New Roman"/>
                <w:sz w:val="18"/>
                <w:szCs w:val="18"/>
              </w:rPr>
              <w:t>可按安装配置服务器台数和客户端台数进行工作量计数，其中每台服务器/客户端的工作量一般取值为：1人天/台～3人天/台</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vMerge w:val="restart"/>
            <w:vAlign w:val="center"/>
          </w:tcPr>
          <w:p>
            <w:pPr>
              <w:pStyle w:val="60"/>
              <w:ind w:firstLine="0" w:firstLineChars="0"/>
              <w:jc w:val="center"/>
              <w:rPr>
                <w:rFonts w:ascii="Times New Roman"/>
                <w:sz w:val="18"/>
                <w:szCs w:val="18"/>
              </w:rPr>
            </w:pPr>
            <w:r>
              <w:rPr>
                <w:rFonts w:ascii="Times New Roman"/>
                <w:sz w:val="18"/>
                <w:szCs w:val="18"/>
              </w:rPr>
              <w:t>业务系统（应用软件适配类</w:t>
            </w:r>
          </w:p>
        </w:tc>
        <w:tc>
          <w:tcPr>
            <w:tcW w:w="1559" w:type="dxa"/>
            <w:vAlign w:val="center"/>
          </w:tcPr>
          <w:p>
            <w:pPr>
              <w:pStyle w:val="60"/>
              <w:ind w:firstLine="0" w:firstLineChars="0"/>
              <w:jc w:val="center"/>
              <w:rPr>
                <w:rFonts w:ascii="Times New Roman"/>
                <w:sz w:val="18"/>
                <w:szCs w:val="18"/>
              </w:rPr>
            </w:pPr>
            <w:r>
              <w:rPr>
                <w:rFonts w:ascii="Times New Roman"/>
                <w:sz w:val="18"/>
                <w:szCs w:val="18"/>
              </w:rPr>
              <w:t>中间件适配</w:t>
            </w:r>
          </w:p>
        </w:tc>
        <w:tc>
          <w:tcPr>
            <w:tcW w:w="3402" w:type="dxa"/>
            <w:vAlign w:val="center"/>
          </w:tcPr>
          <w:p>
            <w:pPr>
              <w:pStyle w:val="60"/>
              <w:ind w:firstLine="0" w:firstLineChars="0"/>
              <w:jc w:val="center"/>
              <w:rPr>
                <w:rFonts w:ascii="Times New Roman"/>
                <w:sz w:val="18"/>
                <w:szCs w:val="18"/>
              </w:rPr>
            </w:pPr>
            <w:r>
              <w:rPr>
                <w:rFonts w:ascii="Times New Roman"/>
                <w:sz w:val="18"/>
                <w:szCs w:val="18"/>
              </w:rPr>
              <w:t>适配费用＝原软件资产额×（4</w:t>
            </w:r>
            <w:r>
              <w:rPr>
                <w:rFonts w:ascii="Times New Roman"/>
                <w:sz w:val="18"/>
                <w:szCs w:val="18"/>
                <w:vertAlign w:val="subscript"/>
              </w:rPr>
              <w:t xml:space="preserve"> </w:t>
            </w:r>
            <w:r>
              <w:rPr>
                <w:rFonts w:ascii="Times New Roman"/>
                <w:sz w:val="18"/>
                <w:szCs w:val="18"/>
              </w:rPr>
              <w:t>％～6</w:t>
            </w:r>
            <w:r>
              <w:rPr>
                <w:rFonts w:ascii="Times New Roman"/>
                <w:sz w:val="18"/>
                <w:szCs w:val="18"/>
                <w:vertAlign w:val="subscript"/>
              </w:rPr>
              <w:t xml:space="preserve"> </w:t>
            </w:r>
            <w:r>
              <w:rPr>
                <w:rFonts w:ascii="Times New Roman"/>
                <w:sz w:val="18"/>
                <w:szCs w:val="18"/>
              </w:rPr>
              <w:t>％）</w:t>
            </w:r>
          </w:p>
        </w:tc>
        <w:tc>
          <w:tcPr>
            <w:tcW w:w="3041" w:type="dxa"/>
            <w:vAlign w:val="center"/>
          </w:tcPr>
          <w:p>
            <w:pPr>
              <w:pStyle w:val="60"/>
              <w:ind w:firstLine="180" w:firstLineChars="100"/>
              <w:rPr>
                <w:rFonts w:ascii="Times New Roman"/>
                <w:sz w:val="18"/>
                <w:szCs w:val="18"/>
              </w:rPr>
            </w:pPr>
            <w:r>
              <w:rPr>
                <w:rFonts w:ascii="Times New Roman"/>
                <w:sz w:val="18"/>
                <w:szCs w:val="18"/>
              </w:rPr>
              <w:t>主要包括业务系统及应用软件在中间件部署运行及相关调试等</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vMerge w:val="continue"/>
            <w:vAlign w:val="center"/>
          </w:tcPr>
          <w:p>
            <w:pPr>
              <w:pStyle w:val="60"/>
              <w:ind w:firstLine="360"/>
              <w:jc w:val="center"/>
              <w:rPr>
                <w:rFonts w:ascii="Times New Roman"/>
                <w:sz w:val="18"/>
                <w:szCs w:val="18"/>
              </w:rPr>
            </w:pPr>
          </w:p>
        </w:tc>
        <w:tc>
          <w:tcPr>
            <w:tcW w:w="1559" w:type="dxa"/>
            <w:vAlign w:val="center"/>
          </w:tcPr>
          <w:p>
            <w:pPr>
              <w:pStyle w:val="60"/>
              <w:ind w:firstLine="0" w:firstLineChars="0"/>
              <w:jc w:val="center"/>
              <w:rPr>
                <w:rFonts w:ascii="Times New Roman"/>
                <w:sz w:val="18"/>
                <w:szCs w:val="18"/>
              </w:rPr>
            </w:pPr>
            <w:r>
              <w:rPr>
                <w:rFonts w:ascii="Times New Roman"/>
                <w:sz w:val="18"/>
                <w:szCs w:val="18"/>
              </w:rPr>
              <w:t>数据库适配</w:t>
            </w:r>
          </w:p>
        </w:tc>
        <w:tc>
          <w:tcPr>
            <w:tcW w:w="3402" w:type="dxa"/>
            <w:vAlign w:val="center"/>
          </w:tcPr>
          <w:p>
            <w:pPr>
              <w:pStyle w:val="60"/>
              <w:ind w:firstLine="0" w:firstLineChars="0"/>
              <w:jc w:val="center"/>
              <w:rPr>
                <w:rFonts w:ascii="Times New Roman"/>
                <w:sz w:val="18"/>
                <w:szCs w:val="18"/>
              </w:rPr>
            </w:pPr>
            <w:r>
              <w:rPr>
                <w:rFonts w:ascii="Times New Roman"/>
                <w:sz w:val="18"/>
                <w:szCs w:val="18"/>
              </w:rPr>
              <w:t>适配费用＝原软件资产额×（12</w:t>
            </w:r>
            <w:r>
              <w:rPr>
                <w:rFonts w:ascii="Times New Roman"/>
                <w:sz w:val="18"/>
                <w:szCs w:val="18"/>
                <w:vertAlign w:val="subscript"/>
              </w:rPr>
              <w:t xml:space="preserve"> </w:t>
            </w:r>
            <w:r>
              <w:rPr>
                <w:rFonts w:ascii="Times New Roman"/>
                <w:sz w:val="18"/>
                <w:szCs w:val="18"/>
              </w:rPr>
              <w:t>％～18</w:t>
            </w:r>
            <w:r>
              <w:rPr>
                <w:rFonts w:ascii="Times New Roman"/>
                <w:sz w:val="18"/>
                <w:szCs w:val="18"/>
                <w:vertAlign w:val="subscript"/>
              </w:rPr>
              <w:t xml:space="preserve"> </w:t>
            </w:r>
            <w:r>
              <w:rPr>
                <w:rFonts w:ascii="Times New Roman"/>
                <w:sz w:val="18"/>
                <w:szCs w:val="18"/>
              </w:rPr>
              <w:t>％）</w:t>
            </w:r>
          </w:p>
        </w:tc>
        <w:tc>
          <w:tcPr>
            <w:tcW w:w="3041" w:type="dxa"/>
            <w:vAlign w:val="center"/>
          </w:tcPr>
          <w:p>
            <w:pPr>
              <w:pStyle w:val="60"/>
              <w:ind w:firstLine="180" w:firstLineChars="100"/>
              <w:rPr>
                <w:rFonts w:ascii="Times New Roman"/>
                <w:sz w:val="18"/>
                <w:szCs w:val="18"/>
              </w:rPr>
            </w:pPr>
            <w:r>
              <w:rPr>
                <w:rFonts w:ascii="Times New Roman"/>
                <w:sz w:val="18"/>
                <w:szCs w:val="18"/>
              </w:rPr>
              <w:t>包括历史数据迁移以及基本数据表相关数据功能的适配改造</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vMerge w:val="continue"/>
            <w:vAlign w:val="center"/>
          </w:tcPr>
          <w:p>
            <w:pPr>
              <w:pStyle w:val="60"/>
              <w:ind w:firstLine="360"/>
              <w:jc w:val="center"/>
              <w:rPr>
                <w:rFonts w:ascii="Times New Roman"/>
                <w:sz w:val="18"/>
                <w:szCs w:val="18"/>
              </w:rPr>
            </w:pPr>
          </w:p>
        </w:tc>
        <w:tc>
          <w:tcPr>
            <w:tcW w:w="1559" w:type="dxa"/>
            <w:vAlign w:val="center"/>
          </w:tcPr>
          <w:p>
            <w:pPr>
              <w:pStyle w:val="60"/>
              <w:ind w:firstLine="0" w:firstLineChars="0"/>
              <w:jc w:val="center"/>
              <w:rPr>
                <w:rFonts w:ascii="Times New Roman"/>
                <w:sz w:val="18"/>
                <w:szCs w:val="18"/>
              </w:rPr>
            </w:pPr>
            <w:r>
              <w:rPr>
                <w:rFonts w:ascii="Times New Roman"/>
                <w:sz w:val="18"/>
                <w:szCs w:val="18"/>
              </w:rPr>
              <w:t>浏览器适配</w:t>
            </w:r>
          </w:p>
        </w:tc>
        <w:tc>
          <w:tcPr>
            <w:tcW w:w="3402" w:type="dxa"/>
            <w:vAlign w:val="center"/>
          </w:tcPr>
          <w:p>
            <w:pPr>
              <w:pStyle w:val="60"/>
              <w:ind w:firstLine="0" w:firstLineChars="0"/>
              <w:jc w:val="center"/>
              <w:rPr>
                <w:rFonts w:ascii="Times New Roman"/>
                <w:sz w:val="18"/>
                <w:szCs w:val="18"/>
              </w:rPr>
            </w:pPr>
            <w:r>
              <w:rPr>
                <w:rFonts w:ascii="Times New Roman"/>
                <w:sz w:val="18"/>
                <w:szCs w:val="18"/>
              </w:rPr>
              <w:t>适配费用＝原软件资产额×（4</w:t>
            </w:r>
            <w:r>
              <w:rPr>
                <w:rFonts w:ascii="Times New Roman"/>
                <w:sz w:val="18"/>
                <w:szCs w:val="18"/>
                <w:vertAlign w:val="subscript"/>
              </w:rPr>
              <w:t xml:space="preserve"> </w:t>
            </w:r>
            <w:r>
              <w:rPr>
                <w:rFonts w:ascii="Times New Roman"/>
                <w:sz w:val="18"/>
                <w:szCs w:val="18"/>
              </w:rPr>
              <w:t>％～6</w:t>
            </w:r>
            <w:r>
              <w:rPr>
                <w:rFonts w:ascii="Times New Roman"/>
                <w:sz w:val="18"/>
                <w:szCs w:val="18"/>
                <w:vertAlign w:val="subscript"/>
              </w:rPr>
              <w:t xml:space="preserve"> </w:t>
            </w:r>
            <w:r>
              <w:rPr>
                <w:rFonts w:ascii="Times New Roman"/>
                <w:sz w:val="18"/>
                <w:szCs w:val="18"/>
              </w:rPr>
              <w:t>％）</w:t>
            </w:r>
          </w:p>
        </w:tc>
        <w:tc>
          <w:tcPr>
            <w:tcW w:w="3041" w:type="dxa"/>
            <w:vAlign w:val="center"/>
          </w:tcPr>
          <w:p>
            <w:pPr>
              <w:pStyle w:val="60"/>
              <w:ind w:firstLine="180" w:firstLineChars="100"/>
              <w:rPr>
                <w:rFonts w:ascii="Times New Roman"/>
                <w:sz w:val="18"/>
                <w:szCs w:val="18"/>
              </w:rPr>
            </w:pPr>
            <w:r>
              <w:rPr>
                <w:rFonts w:ascii="Times New Roman"/>
                <w:sz w:val="18"/>
                <w:szCs w:val="18"/>
              </w:rPr>
              <w:t>主要包括受IE浏览器影响的页面及功能适配调整，如涉及国密的，应验证整个国密处理过程及相关的适配改造</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vMerge w:val="continue"/>
            <w:vAlign w:val="center"/>
          </w:tcPr>
          <w:p>
            <w:pPr>
              <w:pStyle w:val="60"/>
              <w:ind w:firstLine="360"/>
              <w:jc w:val="center"/>
              <w:rPr>
                <w:rFonts w:ascii="Times New Roman"/>
                <w:sz w:val="18"/>
                <w:szCs w:val="18"/>
              </w:rPr>
            </w:pPr>
          </w:p>
        </w:tc>
        <w:tc>
          <w:tcPr>
            <w:tcW w:w="1559" w:type="dxa"/>
            <w:vAlign w:val="center"/>
          </w:tcPr>
          <w:p>
            <w:pPr>
              <w:pStyle w:val="60"/>
              <w:ind w:firstLine="0" w:firstLineChars="0"/>
              <w:jc w:val="center"/>
              <w:rPr>
                <w:rFonts w:ascii="Times New Roman"/>
                <w:sz w:val="18"/>
                <w:szCs w:val="18"/>
              </w:rPr>
            </w:pPr>
            <w:r>
              <w:rPr>
                <w:rFonts w:ascii="Times New Roman"/>
                <w:sz w:val="18"/>
                <w:szCs w:val="18"/>
              </w:rPr>
              <w:t>国产插件适配</w:t>
            </w:r>
          </w:p>
        </w:tc>
        <w:tc>
          <w:tcPr>
            <w:tcW w:w="3402" w:type="dxa"/>
            <w:vAlign w:val="center"/>
          </w:tcPr>
          <w:p>
            <w:pPr>
              <w:pStyle w:val="60"/>
              <w:ind w:firstLine="0" w:firstLineChars="0"/>
              <w:jc w:val="center"/>
              <w:rPr>
                <w:rFonts w:ascii="Times New Roman"/>
                <w:sz w:val="18"/>
                <w:szCs w:val="18"/>
              </w:rPr>
            </w:pPr>
            <w:r>
              <w:rPr>
                <w:rFonts w:ascii="Times New Roman"/>
                <w:sz w:val="18"/>
                <w:szCs w:val="18"/>
              </w:rPr>
              <w:t>适配费用＝原软件资产额×（3</w:t>
            </w:r>
            <w:r>
              <w:rPr>
                <w:rFonts w:ascii="Times New Roman"/>
                <w:sz w:val="18"/>
                <w:szCs w:val="18"/>
                <w:vertAlign w:val="subscript"/>
              </w:rPr>
              <w:t xml:space="preserve"> </w:t>
            </w:r>
            <w:r>
              <w:rPr>
                <w:rFonts w:ascii="Times New Roman"/>
                <w:sz w:val="18"/>
                <w:szCs w:val="18"/>
              </w:rPr>
              <w:t>％～5</w:t>
            </w:r>
            <w:r>
              <w:rPr>
                <w:rFonts w:ascii="Times New Roman"/>
                <w:sz w:val="18"/>
                <w:szCs w:val="18"/>
                <w:vertAlign w:val="subscript"/>
              </w:rPr>
              <w:t xml:space="preserve"> </w:t>
            </w:r>
            <w:r>
              <w:rPr>
                <w:rFonts w:ascii="Times New Roman"/>
                <w:sz w:val="18"/>
                <w:szCs w:val="18"/>
              </w:rPr>
              <w:t>％）</w:t>
            </w:r>
          </w:p>
        </w:tc>
        <w:tc>
          <w:tcPr>
            <w:tcW w:w="3041" w:type="dxa"/>
            <w:vAlign w:val="center"/>
          </w:tcPr>
          <w:p>
            <w:pPr>
              <w:pStyle w:val="60"/>
              <w:ind w:firstLine="180" w:firstLineChars="100"/>
              <w:rPr>
                <w:rFonts w:ascii="Times New Roman"/>
                <w:sz w:val="18"/>
                <w:szCs w:val="18"/>
              </w:rPr>
            </w:pPr>
            <w:r>
              <w:rPr>
                <w:rFonts w:ascii="Times New Roman"/>
                <w:sz w:val="18"/>
                <w:szCs w:val="18"/>
              </w:rPr>
              <w:t>包括受IE浏览器ACTIVEX控件技术影响的相关功能调整，以及国产办公软件的插件安装，及业务系统对国产插件的相关调用及功能正常运行</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tcBorders>
              <w:bottom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功能重构类</w:t>
            </w:r>
          </w:p>
        </w:tc>
        <w:tc>
          <w:tcPr>
            <w:tcW w:w="1559" w:type="dxa"/>
            <w:tcBorders>
              <w:bottom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重构</w:t>
            </w:r>
          </w:p>
        </w:tc>
        <w:tc>
          <w:tcPr>
            <w:tcW w:w="3402" w:type="dxa"/>
            <w:tcBorders>
              <w:bottom w:val="single" w:color="auto" w:sz="8" w:space="0"/>
            </w:tcBorders>
            <w:vAlign w:val="center"/>
          </w:tcPr>
          <w:p>
            <w:pPr>
              <w:pStyle w:val="60"/>
              <w:ind w:firstLine="0" w:firstLineChars="0"/>
              <w:jc w:val="center"/>
              <w:rPr>
                <w:rFonts w:ascii="Times New Roman"/>
                <w:sz w:val="18"/>
                <w:szCs w:val="18"/>
              </w:rPr>
            </w:pPr>
            <w:r>
              <w:rPr>
                <w:rFonts w:ascii="Times New Roman"/>
                <w:sz w:val="18"/>
                <w:szCs w:val="18"/>
              </w:rPr>
              <w:t>适配费用＝原软件资产额×开发系数</w:t>
            </w:r>
          </w:p>
        </w:tc>
        <w:tc>
          <w:tcPr>
            <w:tcW w:w="3041" w:type="dxa"/>
            <w:tcBorders>
              <w:bottom w:val="single" w:color="auto" w:sz="8" w:space="0"/>
            </w:tcBorders>
            <w:vAlign w:val="center"/>
          </w:tcPr>
          <w:p>
            <w:pPr>
              <w:pStyle w:val="60"/>
              <w:ind w:firstLine="180" w:firstLineChars="100"/>
              <w:rPr>
                <w:rFonts w:ascii="Times New Roman"/>
                <w:sz w:val="18"/>
                <w:szCs w:val="18"/>
              </w:rPr>
            </w:pPr>
            <w:r>
              <w:rPr>
                <w:rFonts w:ascii="Times New Roman"/>
                <w:sz w:val="18"/>
                <w:szCs w:val="18"/>
              </w:rPr>
              <w:t>根据实际重构类项目的情况，决定项目包含的主要工程类活动，如不必重新进行需求和设计工作，则：</w:t>
            </w:r>
          </w:p>
          <w:p>
            <w:pPr>
              <w:pStyle w:val="60"/>
              <w:ind w:firstLine="360"/>
              <w:rPr>
                <w:rFonts w:ascii="Times New Roman"/>
                <w:sz w:val="18"/>
                <w:szCs w:val="18"/>
              </w:rPr>
            </w:pPr>
            <w:r>
              <w:rPr>
                <w:rFonts w:ascii="Times New Roman"/>
                <w:sz w:val="18"/>
                <w:szCs w:val="18"/>
              </w:rPr>
              <w:t>开发系数编码工作量分布比例+测试工作量分布比例+上线工作量分布比例</w:t>
            </w:r>
            <w:r>
              <w:rPr>
                <w:rFonts w:hint="eastAsia" w:ascii="Times New Roman"/>
                <w:sz w:val="18"/>
                <w:szCs w:val="18"/>
                <w:lang w:eastAsia="zh-CN"/>
              </w:rPr>
              <w:t>，</w:t>
            </w:r>
            <w:r>
              <w:rPr>
                <w:rFonts w:ascii="Times New Roman"/>
                <w:sz w:val="18"/>
                <w:szCs w:val="18"/>
              </w:rPr>
              <w:t>具体数值参见表</w:t>
            </w:r>
            <w:r>
              <w:rPr>
                <w:rFonts w:hint="eastAsia" w:ascii="Times New Roman"/>
                <w:sz w:val="18"/>
                <w:szCs w:val="18"/>
              </w:rPr>
              <w:t>B</w:t>
            </w:r>
            <w:r>
              <w:rPr>
                <w:rFonts w:ascii="Times New Roman"/>
                <w:sz w:val="18"/>
                <w:szCs w:val="18"/>
              </w:rPr>
              <w:t>.1</w:t>
            </w:r>
          </w:p>
        </w:tc>
      </w:tr>
      <w:tr>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108" w:type="dxa"/>
            <w:bottom w:w="0" w:type="dxa"/>
            <w:right w:w="108" w:type="dxa"/>
          </w:tblCellMar>
        </w:tblPrEx>
        <w:trPr>
          <w:jc w:val="center"/>
        </w:trPr>
        <w:tc>
          <w:tcPr>
            <w:tcW w:w="9268" w:type="dxa"/>
            <w:gridSpan w:val="4"/>
            <w:tcBorders>
              <w:top w:val="single" w:color="auto" w:sz="8" w:space="0"/>
              <w:left w:val="single" w:color="auto" w:sz="8" w:space="0"/>
              <w:bottom w:val="single" w:color="auto" w:sz="8" w:space="0"/>
              <w:right w:val="single" w:color="auto" w:sz="8" w:space="0"/>
            </w:tcBorders>
            <w:vAlign w:val="center"/>
          </w:tcPr>
          <w:p>
            <w:pPr>
              <w:pStyle w:val="183"/>
              <w:rPr>
                <w:rFonts w:ascii="Times New Roman"/>
              </w:rPr>
            </w:pPr>
            <w:r>
              <w:rPr>
                <w:rFonts w:ascii="Times New Roman"/>
              </w:rPr>
              <w:t>软件资产额可参考原软件采购合同价格，可依据现有软件资产额评估结果，评估方法见GB/T 36964—2018。</w:t>
            </w:r>
          </w:p>
        </w:tc>
      </w:tr>
    </w:tbl>
    <w:p>
      <w:pPr>
        <w:pStyle w:val="60"/>
        <w:ind w:firstLine="420"/>
        <w:rPr>
          <w:rFonts w:ascii="Times New Roman"/>
        </w:rPr>
      </w:pPr>
      <w:r>
        <w:rPr>
          <w:rFonts w:ascii="Times New Roman"/>
        </w:rPr>
        <w:br w:type="page"/>
      </w:r>
    </w:p>
    <w:bookmarkEnd w:id="226"/>
    <w:p>
      <w:pPr>
        <w:pStyle w:val="60"/>
        <w:ind w:firstLine="420"/>
        <w:sectPr>
          <w:pgSz w:w="11906" w:h="16838"/>
          <w:pgMar w:top="1928" w:right="1134" w:bottom="1134" w:left="1134" w:header="1418" w:footer="1134" w:gutter="284"/>
          <w:cols w:space="425" w:num="1"/>
          <w:formProt w:val="0"/>
          <w:docGrid w:type="lines" w:linePitch="312" w:charSpace="0"/>
        </w:sectPr>
      </w:pPr>
      <w:bookmarkStart w:id="247" w:name="BookMark6"/>
    </w:p>
    <w:p>
      <w:pPr>
        <w:pStyle w:val="67"/>
        <w:spacing w:after="156"/>
        <w:rPr>
          <w:rFonts w:hint="eastAsia"/>
        </w:rPr>
      </w:pPr>
      <w:r>
        <w:rPr>
          <w:rFonts w:hint="eastAsia"/>
          <w:spacing w:val="105"/>
        </w:rPr>
        <w:t>参考文</w:t>
      </w:r>
      <w:r>
        <w:rPr>
          <w:rFonts w:hint="eastAsia"/>
        </w:rPr>
        <w:t>献</w:t>
      </w:r>
    </w:p>
    <w:p>
      <w:pPr>
        <w:pStyle w:val="60"/>
        <w:ind w:firstLine="420"/>
        <w:rPr>
          <w:rFonts w:ascii="Times New Roman"/>
        </w:rPr>
      </w:pPr>
    </w:p>
    <w:p>
      <w:pPr>
        <w:pStyle w:val="60"/>
        <w:ind w:firstLine="420"/>
        <w:rPr>
          <w:rFonts w:ascii="Times New Roman"/>
        </w:rPr>
      </w:pPr>
      <w:r>
        <w:rPr>
          <w:rFonts w:ascii="Times New Roman"/>
        </w:rPr>
        <w:t>[1]  GB/T 24405.1—2009/ISO/IEC 20000-1：2005  信息技术 服务管理</w:t>
      </w:r>
    </w:p>
    <w:p>
      <w:pPr>
        <w:pStyle w:val="60"/>
        <w:ind w:firstLine="420"/>
        <w:rPr>
          <w:rFonts w:ascii="Times New Roman"/>
        </w:rPr>
      </w:pPr>
      <w:r>
        <w:rPr>
          <w:rFonts w:ascii="Times New Roman"/>
        </w:rPr>
        <w:t>[2]  GB/T 22239  网络安全等级保护基本要求</w:t>
      </w:r>
    </w:p>
    <w:p>
      <w:pPr>
        <w:pStyle w:val="60"/>
        <w:ind w:firstLine="420"/>
        <w:rPr>
          <w:rFonts w:ascii="Times New Roman"/>
        </w:rPr>
      </w:pPr>
      <w:r>
        <w:rPr>
          <w:rFonts w:ascii="Times New Roman"/>
        </w:rPr>
        <w:t>[3]  GB/T 36964—2018  软件工程 软件开发成本度量规范</w:t>
      </w:r>
    </w:p>
    <w:p>
      <w:pPr>
        <w:pStyle w:val="60"/>
        <w:ind w:firstLine="420"/>
        <w:rPr>
          <w:rFonts w:ascii="Times New Roman"/>
        </w:rPr>
      </w:pPr>
      <w:r>
        <w:rPr>
          <w:rFonts w:ascii="Times New Roman"/>
        </w:rPr>
        <w:t>[4]  GB/T 42449—2023  系统与软件工程 功能规模测量 IFPUG方法</w:t>
      </w:r>
    </w:p>
    <w:p>
      <w:pPr>
        <w:pStyle w:val="60"/>
        <w:ind w:firstLine="420"/>
        <w:rPr>
          <w:rFonts w:ascii="Times New Roman"/>
        </w:rPr>
      </w:pPr>
      <w:r>
        <w:rPr>
          <w:rFonts w:ascii="Times New Roman"/>
        </w:rPr>
        <w:t>[5]  GB/T 42452—2023  系统与软件工程 功能规模测量 COSMIC方法</w:t>
      </w:r>
    </w:p>
    <w:p>
      <w:pPr>
        <w:pStyle w:val="60"/>
        <w:ind w:firstLine="420"/>
        <w:rPr>
          <w:rFonts w:ascii="Times New Roman"/>
        </w:rPr>
      </w:pPr>
      <w:r>
        <w:rPr>
          <w:rFonts w:ascii="Times New Roman"/>
        </w:rPr>
        <w:t>[6]  GB/T 42588—2023  系统与软件工程 功能规模测量 NESMA方法</w:t>
      </w:r>
    </w:p>
    <w:p>
      <w:pPr>
        <w:pStyle w:val="60"/>
        <w:ind w:firstLine="420"/>
        <w:rPr>
          <w:rFonts w:ascii="Times New Roman"/>
        </w:rPr>
      </w:pPr>
      <w:r>
        <w:rPr>
          <w:rFonts w:ascii="Times New Roman"/>
        </w:rPr>
        <w:t>[7]  SJ/T 11674.1～11674.3—2017  信息技术服务 集成实施</w:t>
      </w:r>
    </w:p>
    <w:p>
      <w:pPr>
        <w:pStyle w:val="60"/>
        <w:ind w:firstLine="420"/>
        <w:rPr>
          <w:rFonts w:ascii="Times New Roman"/>
        </w:rPr>
      </w:pPr>
      <w:r>
        <w:rPr>
          <w:rFonts w:ascii="Times New Roman"/>
        </w:rPr>
        <w:t>[8]  DB11/T 1010—2019  信息化项目软件开发费用测算规范</w:t>
      </w:r>
    </w:p>
    <w:p>
      <w:pPr>
        <w:pStyle w:val="60"/>
        <w:ind w:firstLine="420"/>
        <w:rPr>
          <w:rFonts w:ascii="Times New Roman"/>
        </w:rPr>
      </w:pPr>
      <w:r>
        <w:rPr>
          <w:rFonts w:ascii="Times New Roman"/>
        </w:rPr>
        <w:t>[9]  DB11/T 1424—2017  信息化项目软件运维费用测算规范</w:t>
      </w:r>
    </w:p>
    <w:p>
      <w:pPr>
        <w:pStyle w:val="60"/>
        <w:ind w:firstLine="420"/>
        <w:rPr>
          <w:rFonts w:ascii="Times New Roman"/>
        </w:rPr>
      </w:pPr>
      <w:r>
        <w:rPr>
          <w:rFonts w:ascii="Times New Roman"/>
        </w:rPr>
        <w:t>[10]  《中国软件行业基准数据报告（SSM-BK-2024）》</w:t>
      </w:r>
    </w:p>
    <w:p>
      <w:pPr>
        <w:pStyle w:val="60"/>
        <w:ind w:firstLine="420"/>
      </w:pPr>
    </w:p>
    <w:p>
      <w:pPr>
        <w:pStyle w:val="60"/>
        <w:ind w:firstLine="420"/>
      </w:pPr>
    </w:p>
    <w:p>
      <w:pPr>
        <w:pStyle w:val="60"/>
        <w:ind w:firstLine="420"/>
      </w:pPr>
    </w:p>
    <w:bookmarkEnd w:id="247"/>
    <w:p>
      <w:pPr>
        <w:pStyle w:val="60"/>
        <w:ind w:firstLine="420"/>
      </w:pPr>
    </w:p>
    <w:p>
      <w:pPr>
        <w:pStyle w:val="60"/>
        <w:ind w:firstLine="0" w:firstLineChars="0"/>
        <w:jc w:val="center"/>
      </w:pPr>
      <w:bookmarkStart w:id="248" w:name="BookMark8"/>
      <w:r>
        <w:drawing>
          <wp:inline distT="0" distB="0" distL="0" distR="0">
            <wp:extent cx="1485900" cy="317500"/>
            <wp:effectExtent l="0" t="0" r="0" b="6350"/>
            <wp:docPr id="1515176461" name="图片 1"/>
            <wp:cNvGraphicFramePr/>
            <a:graphic xmlns:a="http://schemas.openxmlformats.org/drawingml/2006/main">
              <a:graphicData uri="http://schemas.openxmlformats.org/drawingml/2006/picture">
                <pic:pic xmlns:pic="http://schemas.openxmlformats.org/drawingml/2006/picture">
                  <pic:nvPicPr>
                    <pic:cNvPr id="1515176461" name="图片 1"/>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48"/>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imSun-ExtB">
    <w:panose1 w:val="02010609060101010101"/>
    <w:charset w:val="86"/>
    <w:family w:val="modern"/>
    <w:pitch w:val="default"/>
    <w:sig w:usb0="00000001" w:usb1="02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right="-2"/>
    </w:pPr>
    <w:r>
      <w:rPr>
        <w:rFonts w:hint="eastAsia"/>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rPr>
      <w:t>Ⅲ</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989128"/>
    </w:sdtPr>
    <w:sdtContent>
      <w:p>
        <w:pPr>
          <w:pStyle w:val="18"/>
        </w:pPr>
        <w:r>
          <w:fldChar w:fldCharType="begin"/>
        </w:r>
        <w:r>
          <w:instrText xml:space="preserve">PAGE   \* MERGEFORMAT</w:instrText>
        </w:r>
        <w:r>
          <w:fldChar w:fldCharType="separate"/>
        </w:r>
        <w:r>
          <w:rPr>
            <w:lang w:val="zh-CN"/>
          </w:rPr>
          <w:t>3</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lang w:val="fr-FR"/>
      </w:rPr>
    </w:pPr>
    <w:r>
      <w:fldChar w:fldCharType="begin"/>
    </w:r>
    <w:r>
      <w:instrText xml:space="preserve"> STYLEREF  标准文件_文件编号  \* MERGEFORMAT </w:instrText>
    </w:r>
    <w:r>
      <w:fldChar w:fldCharType="separate"/>
    </w:r>
    <w:r>
      <w:t>DB XX/T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lang w:val="fr-FR"/>
      </w:rPr>
    </w:pPr>
    <w:r>
      <w:fldChar w:fldCharType="begin"/>
    </w:r>
    <w:r>
      <w:instrText xml:space="preserve"> STYLEREF  标准文件_文件编号  \* MERGEFORMAT </w:instrText>
    </w:r>
    <w:r>
      <w:fldChar w:fldCharType="separate"/>
    </w:r>
    <w:r>
      <w:t>DB XX/T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rPr>
        <w:rFonts w:hint="eastAsia"/>
      </w:rPr>
    </w:pPr>
    <w:r>
      <w:fldChar w:fldCharType="begin"/>
    </w:r>
    <w:r>
      <w:instrText xml:space="preserve"> STYLEREF  标准文件_文件编号  \* MERGEFORMAT </w:instrText>
    </w:r>
    <w:r>
      <w:fldChar w:fldCharType="separate"/>
    </w:r>
    <w:r>
      <w:t>DB 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jc w:val="left"/>
      <w:rPr>
        <w:rFonts w:hint="eastAsia"/>
        <w:lang w:val="fr-FR"/>
      </w:rPr>
    </w:pPr>
    <w:r>
      <w:fldChar w:fldCharType="begin"/>
    </w:r>
    <w:r>
      <w:instrText xml:space="preserve"> STYLEREF  标准文件_文件编号  \* MERGEFORMAT </w:instrText>
    </w:r>
    <w:r>
      <w:fldChar w:fldCharType="separate"/>
    </w:r>
    <w: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74AED"/>
    <w:multiLevelType w:val="multilevel"/>
    <w:tmpl w:val="8C474AED"/>
    <w:lvl w:ilvl="0" w:tentative="0">
      <w:start w:val="6"/>
      <w:numFmt w:val="decimal"/>
      <w:suff w:val="nothing"/>
      <w:lvlText w:val="%1　"/>
      <w:lvlJc w:val="left"/>
      <w:pPr>
        <w:ind w:left="1702" w:firstLine="0"/>
      </w:pPr>
      <w:rPr>
        <w:rFonts w:hint="default" w:ascii="宋体" w:hAnsi="宋体" w:eastAsia="宋体" w:cs="宋体"/>
        <w:b w:val="0"/>
        <w:i w:val="0"/>
        <w:sz w:val="21"/>
        <w:szCs w:val="21"/>
      </w:rPr>
    </w:lvl>
    <w:lvl w:ilvl="1" w:tentative="0">
      <w:start w:val="5"/>
      <w:numFmt w:val="decimal"/>
      <w:pStyle w:val="234"/>
      <w:suff w:val="nothing"/>
      <w:lvlText w:val="%1.%2　"/>
      <w:lvlJc w:val="left"/>
      <w:pPr>
        <w:tabs>
          <w:tab w:val="left" w:pos="0"/>
        </w:tabs>
        <w:ind w:left="284" w:firstLine="0"/>
      </w:pPr>
      <w:rPr>
        <w:rFonts w:hint="default" w:ascii="宋体" w:hAnsi="宋体" w:eastAsia="宋体" w:cs="宋体"/>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tabs>
          <w:tab w:val="left" w:pos="0"/>
        </w:tabs>
        <w:ind w:left="0" w:firstLine="0"/>
      </w:pPr>
      <w:rPr>
        <w:rFonts w:hint="default" w:ascii="宋体" w:hAnsi="宋体" w:eastAsia="宋体" w:cs="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lang w:val="en-US"/>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71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yM2NiNTY5MzBmYWZlNDEzZmFiMmY1ZTQxNzUwNmEifQ=="/>
  </w:docVars>
  <w:rsids>
    <w:rsidRoot w:val="00496558"/>
    <w:rsid w:val="0000040A"/>
    <w:rsid w:val="00000A94"/>
    <w:rsid w:val="00001972"/>
    <w:rsid w:val="00001D9A"/>
    <w:rsid w:val="00007B3A"/>
    <w:rsid w:val="000107E0"/>
    <w:rsid w:val="00011FDE"/>
    <w:rsid w:val="00012D32"/>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4FC"/>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0F72"/>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471"/>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672"/>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6F5C"/>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85F"/>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63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21A"/>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1DEA"/>
    <w:rsid w:val="002134E3"/>
    <w:rsid w:val="002142EA"/>
    <w:rsid w:val="002203EE"/>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3B48"/>
    <w:rsid w:val="00285170"/>
    <w:rsid w:val="00285361"/>
    <w:rsid w:val="00285F37"/>
    <w:rsid w:val="0029097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5F8"/>
    <w:rsid w:val="002C3F07"/>
    <w:rsid w:val="002C5278"/>
    <w:rsid w:val="002C7EBB"/>
    <w:rsid w:val="002D06C1"/>
    <w:rsid w:val="002D42B5"/>
    <w:rsid w:val="002D4F1A"/>
    <w:rsid w:val="002D65D7"/>
    <w:rsid w:val="002D6EC6"/>
    <w:rsid w:val="002D79AC"/>
    <w:rsid w:val="002E039D"/>
    <w:rsid w:val="002E3A76"/>
    <w:rsid w:val="002E4D5A"/>
    <w:rsid w:val="002E6326"/>
    <w:rsid w:val="002F30E0"/>
    <w:rsid w:val="002F35E4"/>
    <w:rsid w:val="002F3730"/>
    <w:rsid w:val="002F38E1"/>
    <w:rsid w:val="002F7AF6"/>
    <w:rsid w:val="00300E63"/>
    <w:rsid w:val="00302F5F"/>
    <w:rsid w:val="0030441D"/>
    <w:rsid w:val="00305C6C"/>
    <w:rsid w:val="00306063"/>
    <w:rsid w:val="00312679"/>
    <w:rsid w:val="00313B85"/>
    <w:rsid w:val="00317988"/>
    <w:rsid w:val="003221B4"/>
    <w:rsid w:val="0032258D"/>
    <w:rsid w:val="00322E62"/>
    <w:rsid w:val="00324D13"/>
    <w:rsid w:val="00324D2A"/>
    <w:rsid w:val="00324EDD"/>
    <w:rsid w:val="003331E4"/>
    <w:rsid w:val="00336C64"/>
    <w:rsid w:val="00337162"/>
    <w:rsid w:val="0034194F"/>
    <w:rsid w:val="00341E84"/>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4F89"/>
    <w:rsid w:val="00376713"/>
    <w:rsid w:val="00381815"/>
    <w:rsid w:val="003819AF"/>
    <w:rsid w:val="003820E9"/>
    <w:rsid w:val="00382DE7"/>
    <w:rsid w:val="00384FFC"/>
    <w:rsid w:val="003872FC"/>
    <w:rsid w:val="00387ADC"/>
    <w:rsid w:val="00390020"/>
    <w:rsid w:val="00390284"/>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3395"/>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1354"/>
    <w:rsid w:val="003F23D3"/>
    <w:rsid w:val="003F3F08"/>
    <w:rsid w:val="003F49F1"/>
    <w:rsid w:val="003F6272"/>
    <w:rsid w:val="00400E72"/>
    <w:rsid w:val="00401400"/>
    <w:rsid w:val="00404869"/>
    <w:rsid w:val="00405884"/>
    <w:rsid w:val="00407D39"/>
    <w:rsid w:val="0041477A"/>
    <w:rsid w:val="004167A3"/>
    <w:rsid w:val="00432DAA"/>
    <w:rsid w:val="00432F07"/>
    <w:rsid w:val="00434305"/>
    <w:rsid w:val="00435DF7"/>
    <w:rsid w:val="0044083F"/>
    <w:rsid w:val="00441AE7"/>
    <w:rsid w:val="00445574"/>
    <w:rsid w:val="004467FB"/>
    <w:rsid w:val="00452D6B"/>
    <w:rsid w:val="00454484"/>
    <w:rsid w:val="0045500E"/>
    <w:rsid w:val="0045517B"/>
    <w:rsid w:val="00457495"/>
    <w:rsid w:val="004627E9"/>
    <w:rsid w:val="00463B77"/>
    <w:rsid w:val="00463C7B"/>
    <w:rsid w:val="004644A6"/>
    <w:rsid w:val="004659BD"/>
    <w:rsid w:val="00467C01"/>
    <w:rsid w:val="00470775"/>
    <w:rsid w:val="004746B1"/>
    <w:rsid w:val="0047583F"/>
    <w:rsid w:val="00475DE8"/>
    <w:rsid w:val="00481C44"/>
    <w:rsid w:val="00484936"/>
    <w:rsid w:val="00485C89"/>
    <w:rsid w:val="00486BE3"/>
    <w:rsid w:val="004905E4"/>
    <w:rsid w:val="00490A89"/>
    <w:rsid w:val="00490AB4"/>
    <w:rsid w:val="00492F02"/>
    <w:rsid w:val="004939AE"/>
    <w:rsid w:val="00496558"/>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20"/>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C2A"/>
    <w:rsid w:val="005479DA"/>
    <w:rsid w:val="00547BCC"/>
    <w:rsid w:val="0055013B"/>
    <w:rsid w:val="00551F6F"/>
    <w:rsid w:val="00555044"/>
    <w:rsid w:val="00561475"/>
    <w:rsid w:val="0056487B"/>
    <w:rsid w:val="00564FB9"/>
    <w:rsid w:val="00573D9E"/>
    <w:rsid w:val="005801E3"/>
    <w:rsid w:val="00581802"/>
    <w:rsid w:val="005836A8"/>
    <w:rsid w:val="00583869"/>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140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A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825"/>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3B4C"/>
    <w:rsid w:val="007959E8"/>
    <w:rsid w:val="00795E9C"/>
    <w:rsid w:val="007A0521"/>
    <w:rsid w:val="007A109A"/>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6487"/>
    <w:rsid w:val="008603CE"/>
    <w:rsid w:val="008620FC"/>
    <w:rsid w:val="008627A5"/>
    <w:rsid w:val="00863E05"/>
    <w:rsid w:val="00865ACA"/>
    <w:rsid w:val="00865D28"/>
    <w:rsid w:val="00865F85"/>
    <w:rsid w:val="00867C10"/>
    <w:rsid w:val="00870439"/>
    <w:rsid w:val="008705B1"/>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6D3"/>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487"/>
    <w:rsid w:val="00902722"/>
    <w:rsid w:val="009027BC"/>
    <w:rsid w:val="009062E6"/>
    <w:rsid w:val="00911BE5"/>
    <w:rsid w:val="00913CA9"/>
    <w:rsid w:val="009145AE"/>
    <w:rsid w:val="009146CE"/>
    <w:rsid w:val="00914CA7"/>
    <w:rsid w:val="00915C3E"/>
    <w:rsid w:val="009161A8"/>
    <w:rsid w:val="009171E2"/>
    <w:rsid w:val="009245F5"/>
    <w:rsid w:val="009249EC"/>
    <w:rsid w:val="009273B3"/>
    <w:rsid w:val="009305B5"/>
    <w:rsid w:val="009429D5"/>
    <w:rsid w:val="00942BF1"/>
    <w:rsid w:val="00945180"/>
    <w:rsid w:val="00945428"/>
    <w:rsid w:val="0094607B"/>
    <w:rsid w:val="00953604"/>
    <w:rsid w:val="0095496B"/>
    <w:rsid w:val="009610DC"/>
    <w:rsid w:val="00961490"/>
    <w:rsid w:val="009632E1"/>
    <w:rsid w:val="0096381A"/>
    <w:rsid w:val="00965E04"/>
    <w:rsid w:val="009674AD"/>
    <w:rsid w:val="00970CDC"/>
    <w:rsid w:val="00977010"/>
    <w:rsid w:val="00977D02"/>
    <w:rsid w:val="009809BB"/>
    <w:rsid w:val="0098364B"/>
    <w:rsid w:val="00990510"/>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257"/>
    <w:rsid w:val="009E5A2D"/>
    <w:rsid w:val="009E5AB2"/>
    <w:rsid w:val="009E6219"/>
    <w:rsid w:val="009F03B3"/>
    <w:rsid w:val="009F7139"/>
    <w:rsid w:val="009F7B0F"/>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4DA5"/>
    <w:rsid w:val="00AC5DF4"/>
    <w:rsid w:val="00AD0AEF"/>
    <w:rsid w:val="00AD11B7"/>
    <w:rsid w:val="00AD1A94"/>
    <w:rsid w:val="00AD1C05"/>
    <w:rsid w:val="00AD4126"/>
    <w:rsid w:val="00AD421C"/>
    <w:rsid w:val="00AD44FA"/>
    <w:rsid w:val="00AD5644"/>
    <w:rsid w:val="00AE070A"/>
    <w:rsid w:val="00AE101C"/>
    <w:rsid w:val="00AE37E5"/>
    <w:rsid w:val="00AE4C4B"/>
    <w:rsid w:val="00AE5EB4"/>
    <w:rsid w:val="00AE6E80"/>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619"/>
    <w:rsid w:val="00BA7C9A"/>
    <w:rsid w:val="00BB203B"/>
    <w:rsid w:val="00BB5F8F"/>
    <w:rsid w:val="00BB657A"/>
    <w:rsid w:val="00BC1A4E"/>
    <w:rsid w:val="00BC3C80"/>
    <w:rsid w:val="00BC4790"/>
    <w:rsid w:val="00BC5DC7"/>
    <w:rsid w:val="00BC6B8B"/>
    <w:rsid w:val="00BC73D8"/>
    <w:rsid w:val="00BD0111"/>
    <w:rsid w:val="00BD081D"/>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0997"/>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2ECD"/>
    <w:rsid w:val="00C55232"/>
    <w:rsid w:val="00C553A4"/>
    <w:rsid w:val="00C55A06"/>
    <w:rsid w:val="00C55D03"/>
    <w:rsid w:val="00C560C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3E36"/>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8E3"/>
    <w:rsid w:val="00D32719"/>
    <w:rsid w:val="00D33333"/>
    <w:rsid w:val="00D33457"/>
    <w:rsid w:val="00D352A2"/>
    <w:rsid w:val="00D3660F"/>
    <w:rsid w:val="00D4162B"/>
    <w:rsid w:val="00D4514F"/>
    <w:rsid w:val="00D451E2"/>
    <w:rsid w:val="00D45E89"/>
    <w:rsid w:val="00D45E8D"/>
    <w:rsid w:val="00D466AE"/>
    <w:rsid w:val="00D4710E"/>
    <w:rsid w:val="00D4734F"/>
    <w:rsid w:val="00D51BF3"/>
    <w:rsid w:val="00D655F5"/>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4B3"/>
    <w:rsid w:val="00DD0619"/>
    <w:rsid w:val="00DD07FB"/>
    <w:rsid w:val="00DD25C6"/>
    <w:rsid w:val="00DD4FE5"/>
    <w:rsid w:val="00DD54B0"/>
    <w:rsid w:val="00DD57EE"/>
    <w:rsid w:val="00DD6BCC"/>
    <w:rsid w:val="00DE0A4B"/>
    <w:rsid w:val="00DE2410"/>
    <w:rsid w:val="00DE2939"/>
    <w:rsid w:val="00DE638E"/>
    <w:rsid w:val="00DE6E81"/>
    <w:rsid w:val="00DE703F"/>
    <w:rsid w:val="00DE7595"/>
    <w:rsid w:val="00DF1961"/>
    <w:rsid w:val="00DF2DA0"/>
    <w:rsid w:val="00DF44DE"/>
    <w:rsid w:val="00DF5F11"/>
    <w:rsid w:val="00E00102"/>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5BB9"/>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9CD"/>
    <w:rsid w:val="00E84A55"/>
    <w:rsid w:val="00E85BFF"/>
    <w:rsid w:val="00E90391"/>
    <w:rsid w:val="00E906C2"/>
    <w:rsid w:val="00E9070B"/>
    <w:rsid w:val="00E9311F"/>
    <w:rsid w:val="00E934D1"/>
    <w:rsid w:val="00E94AF0"/>
    <w:rsid w:val="00E95A5E"/>
    <w:rsid w:val="00E95D13"/>
    <w:rsid w:val="00E95DD3"/>
    <w:rsid w:val="00E969D5"/>
    <w:rsid w:val="00EA053D"/>
    <w:rsid w:val="00EA081B"/>
    <w:rsid w:val="00EA58D1"/>
    <w:rsid w:val="00EA61BC"/>
    <w:rsid w:val="00EA681A"/>
    <w:rsid w:val="00EA735B"/>
    <w:rsid w:val="00EB17DE"/>
    <w:rsid w:val="00EB1E69"/>
    <w:rsid w:val="00EB2086"/>
    <w:rsid w:val="00EB5EDF"/>
    <w:rsid w:val="00EB60FE"/>
    <w:rsid w:val="00EB74DB"/>
    <w:rsid w:val="00EC5359"/>
    <w:rsid w:val="00EC562A"/>
    <w:rsid w:val="00EC7B79"/>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539"/>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0909"/>
    <w:rsid w:val="00FA4DAC"/>
    <w:rsid w:val="00FA662D"/>
    <w:rsid w:val="00FA73B1"/>
    <w:rsid w:val="00FB0CB9"/>
    <w:rsid w:val="00FB1344"/>
    <w:rsid w:val="00FB231D"/>
    <w:rsid w:val="00FB45F1"/>
    <w:rsid w:val="00FB4A72"/>
    <w:rsid w:val="00FB54E8"/>
    <w:rsid w:val="00FB7054"/>
    <w:rsid w:val="00FC17B7"/>
    <w:rsid w:val="00FC2CB7"/>
    <w:rsid w:val="00FC3CFB"/>
    <w:rsid w:val="00FC4090"/>
    <w:rsid w:val="00FC55B4"/>
    <w:rsid w:val="00FD00E6"/>
    <w:rsid w:val="00FD09A1"/>
    <w:rsid w:val="00FD2A7C"/>
    <w:rsid w:val="00FD59EB"/>
    <w:rsid w:val="00FD7299"/>
    <w:rsid w:val="00FE0ED8"/>
    <w:rsid w:val="00FE1FBE"/>
    <w:rsid w:val="00FE2E31"/>
    <w:rsid w:val="00FE3901"/>
    <w:rsid w:val="00FE39D3"/>
    <w:rsid w:val="00FE4BCE"/>
    <w:rsid w:val="00FE54AE"/>
    <w:rsid w:val="00FE576A"/>
    <w:rsid w:val="00FE7E79"/>
    <w:rsid w:val="00FF3E7D"/>
    <w:rsid w:val="00FF5B99"/>
    <w:rsid w:val="00FF730C"/>
    <w:rsid w:val="00FF73F4"/>
    <w:rsid w:val="00FF7CE4"/>
    <w:rsid w:val="00FF7E39"/>
    <w:rsid w:val="02D23086"/>
    <w:rsid w:val="04F6364B"/>
    <w:rsid w:val="08AF6EE0"/>
    <w:rsid w:val="0B6D6042"/>
    <w:rsid w:val="0D740F34"/>
    <w:rsid w:val="25C92800"/>
    <w:rsid w:val="283C2212"/>
    <w:rsid w:val="3155061E"/>
    <w:rsid w:val="31D90E12"/>
    <w:rsid w:val="34DB551B"/>
    <w:rsid w:val="372376B1"/>
    <w:rsid w:val="3FD32356"/>
    <w:rsid w:val="4536079D"/>
    <w:rsid w:val="45693CEF"/>
    <w:rsid w:val="483D7044"/>
    <w:rsid w:val="49B46552"/>
    <w:rsid w:val="4A853110"/>
    <w:rsid w:val="4B5A3672"/>
    <w:rsid w:val="4C672C31"/>
    <w:rsid w:val="52FD6828"/>
    <w:rsid w:val="58A41F6C"/>
    <w:rsid w:val="5A517B3B"/>
    <w:rsid w:val="5AF44F8B"/>
    <w:rsid w:val="60E35B4B"/>
    <w:rsid w:val="69B10BEC"/>
    <w:rsid w:val="6AB31367"/>
    <w:rsid w:val="71C4727B"/>
    <w:rsid w:val="76B031E0"/>
    <w:rsid w:val="77BB3DA4"/>
    <w:rsid w:val="78112CFA"/>
    <w:rsid w:val="7D8D2F8E"/>
    <w:rsid w:val="7E2C5F0E"/>
    <w:rsid w:val="7F5D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7"/>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9"/>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一级条标题"/>
    <w:next w:val="235"/>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5">
    <w:name w:val="段"/>
    <w:link w:val="2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6">
    <w:name w:val="段 Char"/>
    <w:link w:val="235"/>
    <w:qFormat/>
    <w:uiPriority w:val="0"/>
    <w:rPr>
      <w:rFonts w:ascii="宋体" w:hAnsi="Times New Roman"/>
      <w:sz w:val="21"/>
    </w:rPr>
  </w:style>
  <w:style w:type="character" w:customStyle="1" w:styleId="237">
    <w:name w:val="批注文字 字符"/>
    <w:basedOn w:val="31"/>
    <w:link w:val="13"/>
    <w:qFormat/>
    <w:uiPriority w:val="99"/>
    <w:rPr>
      <w:kern w:val="2"/>
      <w:sz w:val="21"/>
      <w:szCs w:val="21"/>
    </w:rPr>
  </w:style>
  <w:style w:type="paragraph" w:customStyle="1" w:styleId="238">
    <w:name w:val="列项——（一级）"/>
    <w:qFormat/>
    <w:uiPriority w:val="0"/>
    <w:pPr>
      <w:widowControl w:val="0"/>
      <w:tabs>
        <w:tab w:val="left" w:pos="851"/>
      </w:tabs>
      <w:ind w:left="851" w:hanging="426"/>
      <w:jc w:val="both"/>
    </w:pPr>
    <w:rPr>
      <w:rFonts w:ascii="宋体" w:hAnsi="Times New Roman" w:eastAsia="宋体" w:cs="Times New Roman"/>
      <w:sz w:val="21"/>
      <w:lang w:val="en-US" w:eastAsia="zh-CN" w:bidi="ar-SA"/>
    </w:rPr>
  </w:style>
  <w:style w:type="character" w:customStyle="1" w:styleId="239">
    <w:name w:val="批注主题 字符"/>
    <w:basedOn w:val="237"/>
    <w:link w:val="28"/>
    <w:semiHidden/>
    <w:qFormat/>
    <w:uiPriority w:val="99"/>
    <w:rPr>
      <w:b/>
      <w:bCs/>
      <w:kern w:val="2"/>
      <w:sz w:val="21"/>
      <w:szCs w:val="21"/>
    </w:rPr>
  </w:style>
  <w:style w:type="paragraph" w:customStyle="1" w:styleId="240">
    <w:name w:val="示例"/>
    <w:next w:val="241"/>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41">
    <w:name w:val="示例内容"/>
    <w:qFormat/>
    <w:uiPriority w:val="0"/>
    <w:pPr>
      <w:ind w:firstLine="200" w:firstLineChars="200"/>
    </w:pPr>
    <w:rPr>
      <w:rFonts w:ascii="宋体" w:hAnsi="Times New Roman" w:eastAsia="宋体" w:cs="Times New Roman"/>
      <w:sz w:val="18"/>
      <w:szCs w:val="18"/>
      <w:lang w:val="en-US" w:eastAsia="zh-CN" w:bidi="ar-SA"/>
    </w:rPr>
  </w:style>
  <w:style w:type="character" w:customStyle="1" w:styleId="242">
    <w:name w:val="apple-converted-space"/>
    <w:qFormat/>
    <w:uiPriority w:val="0"/>
  </w:style>
  <w:style w:type="paragraph" w:customStyle="1" w:styleId="243">
    <w:name w:val="示例×："/>
    <w:basedOn w:val="1"/>
    <w:qFormat/>
    <w:uiPriority w:val="0"/>
    <w:pPr>
      <w:widowControl/>
      <w:adjustRightInd/>
      <w:spacing w:line="240" w:lineRule="auto"/>
      <w:ind w:firstLine="363"/>
    </w:pPr>
    <w:rPr>
      <w:rFonts w:ascii="宋体"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D4875EF9664A2CAE28B9494C0248B9"/>
        <w:style w:val=""/>
        <w:category>
          <w:name w:val="常规"/>
          <w:gallery w:val="placeholder"/>
        </w:category>
        <w:types>
          <w:type w:val="bbPlcHdr"/>
        </w:types>
        <w:behaviors>
          <w:behavior w:val="content"/>
        </w:behaviors>
        <w:description w:val=""/>
        <w:guid w:val="{FDB885A9-7FCE-42ED-91A1-3B2564039695}"/>
      </w:docPartPr>
      <w:docPartBody>
        <w:p>
          <w:pPr>
            <w:pStyle w:val="5"/>
            <w:rPr>
              <w:rFonts w:hint="eastAsia"/>
            </w:rPr>
          </w:pPr>
          <w:r>
            <w:rPr>
              <w:rStyle w:val="4"/>
              <w:rFonts w:hint="eastAsia"/>
            </w:rPr>
            <w:t>单击或点击此处输入文字。</w:t>
          </w:r>
        </w:p>
      </w:docPartBody>
    </w:docPart>
    <w:docPart>
      <w:docPartPr>
        <w:name w:val="A7A3FF68FBCF4771843AB4D668C1422E"/>
        <w:style w:val=""/>
        <w:category>
          <w:name w:val="常规"/>
          <w:gallery w:val="placeholder"/>
        </w:category>
        <w:types>
          <w:type w:val="bbPlcHdr"/>
        </w:types>
        <w:behaviors>
          <w:behavior w:val="content"/>
        </w:behaviors>
        <w:description w:val=""/>
        <w:guid w:val="{65F68883-F54F-4B2F-8056-45F225A1621A}"/>
      </w:docPartPr>
      <w:docPartBody>
        <w:p>
          <w:pPr>
            <w:pStyle w:val="6"/>
            <w:rPr>
              <w:rFonts w:hint="eastAsia"/>
            </w:rPr>
          </w:pPr>
          <w:r>
            <w:rPr>
              <w:rStyle w:val="4"/>
              <w:rFonts w:hint="eastAsia"/>
            </w:rPr>
            <w:t>选择一项。</w:t>
          </w:r>
        </w:p>
      </w:docPartBody>
    </w:docPart>
    <w:docPart>
      <w:docPartPr>
        <w:name w:val="D22D1F1DA8AC4AD5B348751BB9A56F5D"/>
        <w:style w:val=""/>
        <w:category>
          <w:name w:val="常规"/>
          <w:gallery w:val="placeholder"/>
        </w:category>
        <w:types>
          <w:type w:val="bbPlcHdr"/>
        </w:types>
        <w:behaviors>
          <w:behavior w:val="content"/>
        </w:behaviors>
        <w:description w:val=""/>
        <w:guid w:val="{4EB3F3C2-A984-4FD7-8761-31CC0187F91C}"/>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4E"/>
    <w:rsid w:val="000444FC"/>
    <w:rsid w:val="000C3D0E"/>
    <w:rsid w:val="0010507B"/>
    <w:rsid w:val="00211DEA"/>
    <w:rsid w:val="002713DE"/>
    <w:rsid w:val="00294103"/>
    <w:rsid w:val="0033769F"/>
    <w:rsid w:val="003B200D"/>
    <w:rsid w:val="004F39E8"/>
    <w:rsid w:val="00633226"/>
    <w:rsid w:val="007173C6"/>
    <w:rsid w:val="00766594"/>
    <w:rsid w:val="009632E1"/>
    <w:rsid w:val="009A1772"/>
    <w:rsid w:val="00A67E8C"/>
    <w:rsid w:val="00D40A55"/>
    <w:rsid w:val="00DB0CCE"/>
    <w:rsid w:val="00E65ED2"/>
    <w:rsid w:val="00E95A5E"/>
    <w:rsid w:val="00EA053D"/>
    <w:rsid w:val="00F42498"/>
    <w:rsid w:val="00F7444E"/>
    <w:rsid w:val="00FE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8D4875EF9664A2CAE28B9494C0248B9"/>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A7A3FF68FBCF4771843AB4D668C1422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D22D1F1DA8AC4AD5B348751BB9A56F5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13CDEA-A936-4B59-8C00-EC20B8E179DC}">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20</Pages>
  <Words>10772</Words>
  <Characters>12192</Characters>
  <Lines>105</Lines>
  <Paragraphs>29</Paragraphs>
  <TotalTime>18</TotalTime>
  <ScaleCrop>false</ScaleCrop>
  <LinksUpToDate>false</LinksUpToDate>
  <CharactersWithSpaces>12515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2025-02-19T08:55:00Z</dcterms:created>
  <dc:creator>隋雅倩</dc:creator>
  <dc:description>&lt;config cover="true" show_menu="true" version="1.0.0" doctype="SDKXY"&gt;_x000d_
&lt;/config&gt;</dc:description>
  <cp:lastModifiedBy>小芥末墩</cp:lastModifiedBy>
  <cp:lastPrinted>2025-02-19T01:53:00Z</cp:lastPrinted>
  <dcterms:modified xsi:type="dcterms:W3CDTF">2025-02-26T01:40:43Z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2052-12.1.0.16929</vt:lpwstr>
  </property>
  <property fmtid="{D5CDD505-2E9C-101B-9397-08002B2CF9AE}" pid="15" name="ICV">
    <vt:lpwstr>EB6B3D97A41741FF82A09B5D0F96DA4E_13</vt:lpwstr>
  </property>
</Properties>
</file>