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关于《北京市自动驾驶汽车条例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14:ligatures w14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（征求意见稿）》的</w:t>
      </w:r>
      <w:r>
        <w:rPr>
          <w:rFonts w:ascii="方正小标宋简体" w:hAnsi="方正小标宋简体" w:eastAsia="方正小标宋简体" w:cs="方正小标宋简体"/>
          <w:sz w:val="44"/>
          <w:szCs w:val="44"/>
          <w14:ligatures w14:val="none"/>
        </w:rPr>
        <w:t>说明</w:t>
      </w:r>
    </w:p>
    <w:p>
      <w:pPr>
        <w:spacing w:line="560" w:lineRule="exact"/>
        <w:ind w:firstLine="720" w:firstLineChars="200"/>
        <w:rPr>
          <w:rFonts w:ascii="黑体" w:hAnsi="黑体" w:eastAsia="黑体" w:cs="黑体"/>
          <w:sz w:val="36"/>
          <w:szCs w:val="36"/>
          <w14:ligatures w14:val="none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14:ligatures w14:val="none"/>
        </w:rPr>
      </w:pPr>
      <w:r>
        <w:rPr>
          <w:rFonts w:hint="eastAsia" w:ascii="黑体" w:hAnsi="黑体" w:eastAsia="黑体" w:cs="仿宋_GB2312"/>
          <w:sz w:val="32"/>
          <w:szCs w:val="32"/>
          <w:lang w:eastAsia="zh-Hans"/>
          <w14:ligatures w14:val="none"/>
        </w:rPr>
        <w:t>一、起草背景</w:t>
      </w:r>
    </w:p>
    <w:p>
      <w:pPr>
        <w:pStyle w:val="9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自动驾驶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汽车</w:t>
      </w:r>
      <w:r>
        <w:rPr>
          <w:rFonts w:hint="eastAsia" w:ascii="仿宋_GB2312" w:hAnsi="仿宋_GB2312" w:eastAsia="仿宋_GB2312" w:cs="仿宋_GB2312"/>
          <w:sz w:val="32"/>
          <w:szCs w:val="32"/>
        </w:rPr>
        <w:t>是汽车产业发展的重要方向，是全球数字经济标杆城市建设的重点工程，对于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助推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我市产业转型升级，加快培育和发展新质生产力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推动首都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高精尖产业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高质量发展具有重要作用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。近年来，在市委、市政府领导下，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市自动驾驶汽车发展成效显著。2020年9月，本市率先规划建设全国首个高级别自动驾驶示范区，围绕“车路云网图”五大要素，开展车路云一体化系统关键技术验证。目前，北京高级别自动驾驶示范区累计为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家测试车企发放了道路测试的牌照，自动驾驶测试的里程超过2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00万公里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实现全市600平方公里智能化路侧基础设施全覆盖。</w:t>
      </w:r>
    </w:p>
    <w:p>
      <w:pPr>
        <w:pStyle w:val="9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增强我市自动驾驶汽车技术创新能力，聚焦解决自动驾驶汽车商业化运营难题，有必要充分发挥我市地方立法实施性、补充性、探索性作用，为开展自动驾驶汽车创新活动提供兼具确定性与开放性的管理框架，为推动自动驾驶汽车产业高质量发展提供有力法治保障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lang w:eastAsia="zh-Hans"/>
          <w14:ligatures w14:val="none"/>
        </w:rPr>
      </w:pPr>
      <w:r>
        <w:rPr>
          <w:rFonts w:hint="eastAsia" w:ascii="黑体" w:hAnsi="黑体" w:eastAsia="黑体" w:cs="仿宋_GB2312"/>
          <w:sz w:val="32"/>
          <w:szCs w:val="32"/>
          <w:lang w:eastAsia="zh-Hans"/>
          <w14:ligatures w14:val="none"/>
        </w:rPr>
        <w:t>二、立法思路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立足首都城市战略定位，全面贯彻新发展理念，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驱动，加快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新质生产力，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围绕自动驾驶汽车产业发展需求，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关注企业发展的痛点难点，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按照“有限立法”原则，以问题为导向，“</w:t>
      </w:r>
      <w:r>
        <w:rPr>
          <w:rFonts w:ascii="仿宋_GB2312" w:hAnsi="仿宋_GB2312" w:eastAsia="仿宋_GB2312" w:cs="仿宋_GB2312"/>
          <w:sz w:val="32"/>
          <w:szCs w:val="32"/>
        </w:rPr>
        <w:t>小切口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发展与安全并重、促进与规范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并举管理思路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，衔接现行法律法规及国家智能网联汽车准入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上路通行试点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车路云一体化试点等政策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固化提升我市</w:t>
      </w:r>
      <w:r>
        <w:rPr>
          <w:rFonts w:ascii="仿宋_GB2312" w:hAnsi="仿宋_GB2312" w:eastAsia="仿宋_GB2312" w:cs="仿宋_GB2312"/>
          <w:sz w:val="32"/>
          <w:szCs w:val="32"/>
        </w:rPr>
        <w:t>通过高级别自动驾驶示范区建设形成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的成熟经验和核心制度，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通过制定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义务性、禁止性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和宣示性规范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重点解决我市特定区域自动驾驶汽车创新活动面临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在坚守安全底线的基础上，为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L3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及以上自动驾驶汽车市场主体提供清晰、透明、可预期的制度规范，同时给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后续探索实践预留空间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自动驾驶汽车创新管理、创新发展、创新应用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三、主要内容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《条例》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共六章三十八条，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管理机制、产业创新发展、基础设施规划建设、创新活动规范、安全保障等方面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进行法规制度设计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14:ligatures w14:val="none"/>
        </w:rPr>
        <w:t>关于管理机制。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本部分规定了立法目的、适用范围、总体原则、政府职责等，提出市政府加强顶层设计，建立健全推进协调机制，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推动发展自动驾驶汽车产业纳入国民经济和社会发展年度计划；明确市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经济和信息化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部门会同交通运输、公安交管部门建立自动驾驶汽车联合工作机制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其他有关部门按照职责分工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做好相关工作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；各区人民政府及其有关部门根据区域特色和发展需求，组织开展自动驾驶汽车创新活动。同时，明确京津冀协同发展的基本方向，规定在政策互认、标准兼容、场景联通、产业协作四个方面开展区域协同。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14:ligatures w14:val="none"/>
        </w:rPr>
        <w:t>关于产业创新发展。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本部分对创新研发、产业链发展促进、测试评价和认证能力建设、标准制定、数据利用等进行了具体规定。明确提出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创新研发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，促进产业链发展，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推进完善自动驾驶汽车产业生态；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支持产品质量检验检测机构建设，提升北京本市自动驾驶汽车整车及零部件测试评价和认证能力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组织制定与自动驾驶汽车相关的智能化路侧基础设施、检验检测、自动驾驶地图等领域的地方标准；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自动驾驶汽车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数据流通利用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，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鼓励市场主体开发数据产品并提供应用和服务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；提出为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自动驾驶汽车领域新技术、新场景、新产品、新模式应用设立监管沙盒。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14:ligatures w14:val="none"/>
        </w:rPr>
        <w:t>关于基础设施规划建设。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本部分对</w:t>
      </w:r>
      <w:r>
        <w:rPr>
          <w:rFonts w:hint="eastAsia" w:ascii="仿宋_GB2312" w:hAnsi="仿宋_GB2312" w:eastAsia="仿宋_GB2312" w:cs="仿宋_GB2312"/>
          <w:sz w:val="32"/>
          <w:szCs w:val="32"/>
        </w:rPr>
        <w:t>通行区域、智能化路侧基础设施建设、服务管理平台等车路云一体化建设进行了全面系统规定。提出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统筹规划通行区域、道路，支持智能化路侧基础设施完善的区域全域开放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新建、改建、扩建道路为智能化路侧基础设施预留空间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，鼓励充分利用现有设施改造升级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统筹建设全市统一的自动驾驶汽车安全监测平台和云控基础平台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鼓励建设低时延、高可靠的通信网络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支持相关主体开展自动驾驶地图应用试点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，充分发挥地图支持作用。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14:ligatures w14:val="none"/>
        </w:rPr>
        <w:t>关于创新活动规范。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本部分对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创新活动阶段、创新活动场景、创新活动管理、申报确认制度、便利化措施、道路运输服务试点等进行了规定。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自动驾驶汽车创新活动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开展道路测试、示范应用、示范运营、道路运输服务试点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四个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阶段；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规定了创新活动场景，明确各相关部门开展管理工作具体内容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确立创新活动申报确定制度，规定申请程序，明确相关部门可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开展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便利化措施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建立创新活动整体情况定期评估制度，畅通公众信息渠道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对驾驶人或（远程）安全员进行规定，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明确相关交通违法行为处理、事故责任认定规则。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14:ligatures w14:val="none"/>
        </w:rPr>
        <w:t>关于安全保障。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本部分对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行车安全、网络安全、测绘安全、保险保障等进行了规定。明确自动驾驶汽车上道路行驶的，应当符合道路交通安全法律、法规和安全管理规定；对自动驾驶功能宣传、软件升级等事项进行规定；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提出自动驾驶汽车企业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网络安全和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数据安全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义务；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明确地图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测绘活动安全规范，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支持企业地图</w:t>
      </w:r>
      <w:r>
        <w:rPr>
          <w:rFonts w:ascii="仿宋_GB2312" w:hAnsi="仿宋_GB2312" w:eastAsia="仿宋_GB2312" w:cs="仿宋_GB2312"/>
          <w:sz w:val="32"/>
          <w:szCs w:val="32"/>
        </w:rPr>
        <w:t>众源采集和车端临时构图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明确企业投保种类，鼓励保险机构开发保险产品，提供保险服务。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14:ligatures w14:val="none"/>
        </w:rPr>
        <w:t>关于附则。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对功能型无人车上路通行进行原则规定，明确规定道路测试、示范应用等名词定义，并规定施行日期。</w:t>
      </w: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2B3720E"/>
    <w:rsid w:val="0ACB31DC"/>
    <w:rsid w:val="111E393A"/>
    <w:rsid w:val="15E14721"/>
    <w:rsid w:val="169B6C2C"/>
    <w:rsid w:val="16B34B25"/>
    <w:rsid w:val="19630011"/>
    <w:rsid w:val="1B1232F0"/>
    <w:rsid w:val="28FD67BE"/>
    <w:rsid w:val="2E6609A2"/>
    <w:rsid w:val="2F94567D"/>
    <w:rsid w:val="304545E8"/>
    <w:rsid w:val="3F7FF8C0"/>
    <w:rsid w:val="45FF826B"/>
    <w:rsid w:val="493112C0"/>
    <w:rsid w:val="4C135C75"/>
    <w:rsid w:val="531215AF"/>
    <w:rsid w:val="57995330"/>
    <w:rsid w:val="580274BB"/>
    <w:rsid w:val="5FFCEA4B"/>
    <w:rsid w:val="63DA6626"/>
    <w:rsid w:val="6FFD4C48"/>
    <w:rsid w:val="6FFF99F4"/>
    <w:rsid w:val="749E5641"/>
    <w:rsid w:val="7CF69030"/>
    <w:rsid w:val="7D5B0573"/>
    <w:rsid w:val="7D5D8C2F"/>
    <w:rsid w:val="7F1779DD"/>
    <w:rsid w:val="9F6F2718"/>
    <w:rsid w:val="BCEFB1C3"/>
    <w:rsid w:val="BDD18716"/>
    <w:rsid w:val="FDFFBB03"/>
    <w:rsid w:val="FEF6158F"/>
    <w:rsid w:val="FEF68702"/>
    <w:rsid w:val="FFE9A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Ansi="Courier New" w:cs="Courier New" w:asciiTheme="minorEastAsi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2024-06-29T06:24:00Z</dcterms:created>
  <dc:creator>14270</dc:creator>
  <cp:lastModifiedBy>admin</cp:lastModifiedBy>
  <dcterms:modified xsi:type="dcterms:W3CDTF">2024-06-30T15:54:00Z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AD267319F3D74F378F81EA5A5BECB571_13</vt:lpwstr>
  </property>
</Properties>
</file>