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bookmarkStart w:id="4" w:name="_GoBack"/>
      <w:bookmarkEnd w:id="4"/>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北京市科技创新基金高精尖产业阶段</w:t>
      </w: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lang w:val="en-US" w:eastAsia="zh-CN"/>
        </w:rPr>
        <w:t>2018年度</w:t>
      </w:r>
      <w:r>
        <w:rPr>
          <w:rFonts w:hint="eastAsia" w:ascii="方正小标宋简体" w:eastAsia="方正小标宋简体"/>
          <w:color w:val="000000"/>
          <w:sz w:val="44"/>
          <w:szCs w:val="44"/>
        </w:rPr>
        <w:t>投资指南</w:t>
      </w:r>
    </w:p>
    <w:p>
      <w:pPr>
        <w:spacing w:line="560" w:lineRule="exact"/>
      </w:pPr>
    </w:p>
    <w:p>
      <w:pPr>
        <w:spacing w:line="560" w:lineRule="exact"/>
        <w:rPr>
          <w:rFonts w:ascii="仿宋_GB2312" w:eastAsia="仿宋_GB2312"/>
          <w:sz w:val="32"/>
          <w:szCs w:val="32"/>
        </w:rPr>
      </w:pPr>
      <w:r>
        <w:rPr>
          <w:rFonts w:hint="eastAsia" w:ascii="仿宋_GB2312" w:eastAsia="仿宋_GB2312"/>
          <w:sz w:val="32"/>
          <w:szCs w:val="32"/>
        </w:rPr>
        <w:t>各有关单位：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规范设立和运作北京市科技创新基金（以下简称“科创基金”）高精尖产业阶段（以下简称“高精尖阶段”或“母基金”），依据《北京市政府投资引导基金管理办法》《北京市市级政府投资基金管理办法》《北京市科技创新基金管理办法》《北京市科技创新基金统筹联席会议事规则》等文件精神，及有关法律、法规和产业政策，特制定本指南。</w:t>
      </w:r>
    </w:p>
    <w:p>
      <w:pPr>
        <w:tabs>
          <w:tab w:val="left" w:pos="1701"/>
        </w:tabs>
        <w:autoSpaceDN w:val="0"/>
        <w:adjustRightInd w:val="0"/>
        <w:snapToGrid w:val="0"/>
        <w:spacing w:line="560" w:lineRule="exact"/>
        <w:ind w:firstLine="640" w:firstLineChars="200"/>
        <w:rPr>
          <w:szCs w:val="32"/>
        </w:rPr>
      </w:pPr>
      <w:r>
        <w:rPr>
          <w:rFonts w:hint="eastAsia" w:ascii="黑体" w:hAnsi="黑体" w:eastAsia="黑体"/>
          <w:sz w:val="32"/>
          <w:szCs w:val="32"/>
        </w:rPr>
        <w:t>一、宗旨和目标</w:t>
      </w:r>
    </w:p>
    <w:p>
      <w:pPr>
        <w:pStyle w:val="11"/>
        <w:numPr>
          <w:ilvl w:val="0"/>
          <w:numId w:val="0"/>
        </w:numPr>
        <w:adjustRightInd w:val="0"/>
        <w:snapToGrid w:val="0"/>
        <w:spacing w:line="560" w:lineRule="exact"/>
        <w:ind w:firstLine="640" w:firstLineChars="200"/>
        <w:rPr>
          <w:rFonts w:hAnsi="宋体"/>
          <w:kern w:val="0"/>
          <w:szCs w:val="32"/>
        </w:rPr>
      </w:pPr>
      <w:r>
        <w:rPr>
          <w:rFonts w:hint="eastAsia" w:hAnsi="宋体"/>
          <w:kern w:val="0"/>
          <w:szCs w:val="32"/>
        </w:rPr>
        <w:t>高精尖阶段以全球视野，通过政策设计和创新服务模式，以完善重点产业布局和促进重大项目落地为目标，促进优质资本、项目、技术和人才向北京聚集，引导适合首都定位的“高精尖”产业在京落地发展，并为其发展营造良好环境。</w:t>
      </w:r>
    </w:p>
    <w:p>
      <w:pPr>
        <w:pStyle w:val="11"/>
        <w:numPr>
          <w:ilvl w:val="0"/>
          <w:numId w:val="0"/>
        </w:numPr>
        <w:adjustRightInd w:val="0"/>
        <w:snapToGrid w:val="0"/>
        <w:spacing w:line="560" w:lineRule="exact"/>
        <w:ind w:firstLine="640" w:firstLineChars="200"/>
        <w:rPr>
          <w:rFonts w:hAnsi="宋体"/>
          <w:kern w:val="0"/>
          <w:szCs w:val="32"/>
        </w:rPr>
      </w:pPr>
      <w:r>
        <w:rPr>
          <w:rFonts w:hint="eastAsia" w:hAnsi="宋体"/>
          <w:kern w:val="0"/>
          <w:szCs w:val="32"/>
        </w:rPr>
        <w:t>高精尖阶段</w:t>
      </w:r>
      <w:r>
        <w:rPr>
          <w:rFonts w:hint="eastAsia" w:hAnsi="宋体"/>
          <w:szCs w:val="32"/>
        </w:rPr>
        <w:t>组织高精尖产业领域龙头企业和成长型企业，联合社会资本，围绕全国科技创新中心建设总体布局和“高精尖”经济结构部署，聚焦新兴领域、高端环节、关键技术，通过技术改造、重组、兼并购等，加快整合科技创新资源，实现产业优化调整和做优做强。同时围绕北京工业和信息化产业重点工作和核心任务，以完善重点产业核心产业链布局和</w:t>
      </w:r>
      <w:r>
        <w:rPr>
          <w:rFonts w:hint="eastAsia" w:hAnsi="宋体"/>
          <w:kern w:val="0"/>
          <w:szCs w:val="32"/>
        </w:rPr>
        <w:t>重大项目招商引资为抓手，通过资本运作手段，助推相关工作落实实施</w:t>
      </w:r>
      <w:r>
        <w:rPr>
          <w:rFonts w:hint="eastAsia" w:hAnsi="宋体"/>
          <w:szCs w:val="32"/>
        </w:rPr>
        <w:t>，加快构建北京高精尖产业结构。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二、投资领域</w:t>
      </w:r>
    </w:p>
    <w:p>
      <w:pPr>
        <w:pStyle w:val="11"/>
        <w:numPr>
          <w:ilvl w:val="0"/>
          <w:numId w:val="0"/>
        </w:numPr>
        <w:adjustRightInd w:val="0"/>
        <w:snapToGrid w:val="0"/>
        <w:spacing w:line="560" w:lineRule="exact"/>
        <w:ind w:firstLine="640" w:firstLineChars="200"/>
        <w:rPr>
          <w:rFonts w:hAnsi="宋体"/>
          <w:kern w:val="0"/>
          <w:szCs w:val="32"/>
        </w:rPr>
      </w:pPr>
      <w:r>
        <w:rPr>
          <w:rFonts w:hint="eastAsia" w:hAnsi="宋体"/>
          <w:kern w:val="0"/>
          <w:szCs w:val="32"/>
        </w:rPr>
        <w:t>科创基金</w:t>
      </w:r>
      <w:r>
        <w:rPr>
          <w:rFonts w:hint="eastAsia" w:hAnsi="宋体"/>
          <w:szCs w:val="32"/>
        </w:rPr>
        <w:t>高精尖阶段</w:t>
      </w:r>
      <w:r>
        <w:rPr>
          <w:rFonts w:hint="eastAsia" w:hAnsi="宋体"/>
          <w:kern w:val="0"/>
          <w:szCs w:val="32"/>
        </w:rPr>
        <w:t>以《北京加强全国科技创新中心建设总体方案》《北京加强全国科技创新中心建设重点任务实施方案》以及《＜中国制造2025＞北京行动纲要》《中关村国家自主创新示范区发展建设规划（2016-2020年）》为重点发展领域，重点投资于</w:t>
      </w:r>
      <w:r>
        <w:rPr>
          <w:rFonts w:hAnsi="宋体"/>
          <w:kern w:val="0"/>
          <w:szCs w:val="32"/>
        </w:rPr>
        <w:t>新一代信息技术、集成电路、医药健康、智能装备、节能环保、</w:t>
      </w:r>
      <w:r>
        <w:rPr>
          <w:rFonts w:hint="eastAsia" w:hAnsi="宋体"/>
          <w:kern w:val="0"/>
          <w:szCs w:val="32"/>
        </w:rPr>
        <w:t>新材料、</w:t>
      </w:r>
      <w:r>
        <w:rPr>
          <w:rFonts w:hAnsi="宋体"/>
          <w:kern w:val="0"/>
          <w:szCs w:val="32"/>
        </w:rPr>
        <w:t>软件和信息服务</w:t>
      </w:r>
      <w:r>
        <w:rPr>
          <w:rFonts w:hint="eastAsia" w:hAnsi="宋体"/>
          <w:kern w:val="0"/>
          <w:szCs w:val="32"/>
        </w:rPr>
        <w:t>、新能源智能汽车、人工智能、通用航空与卫星应用、新能源、智慧城市、军民融合等领域。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重点投资领域包括：</w:t>
      </w:r>
    </w:p>
    <w:p>
      <w:pPr>
        <w:spacing w:line="560" w:lineRule="exact"/>
        <w:ind w:firstLine="640"/>
        <w:rPr>
          <w:rFonts w:ascii="仿宋_GB2312" w:eastAsia="仿宋_GB2312"/>
          <w:sz w:val="32"/>
          <w:szCs w:val="32"/>
        </w:rPr>
      </w:pPr>
      <w:r>
        <w:rPr>
          <w:rFonts w:hint="eastAsia" w:ascii="仿宋_GB2312" w:eastAsia="仿宋_GB2312"/>
          <w:sz w:val="32"/>
          <w:szCs w:val="32"/>
        </w:rPr>
        <w:t>1.新一代信息技术</w:t>
      </w:r>
    </w:p>
    <w:p>
      <w:pPr>
        <w:spacing w:line="560" w:lineRule="exact"/>
        <w:ind w:firstLine="64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hint="eastAsia" w:ascii="仿宋_GB2312" w:hAnsi="仿宋_GB2312" w:eastAsia="仿宋_GB2312" w:cs="仿宋_GB2312"/>
          <w:color w:val="000000"/>
          <w:kern w:val="0"/>
          <w:sz w:val="32"/>
          <w:szCs w:val="32"/>
        </w:rPr>
        <w:t>5G核心芯片：应用于5G系统和终端设备的数字中频芯片、基带芯片、终端芯片以及面向5G应用的车联网芯片等5G核心芯片研发及产业化应用，设计EDA工具。</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（2）5G核心器件：基于新材料和新工艺的5G中高频和低频频段核心器件的研发及应用，包括5G高频集成射频前端、</w:t>
      </w:r>
      <w:r>
        <w:rPr>
          <w:rFonts w:ascii="仿宋_GB2312" w:hAnsi="仿宋_GB2312" w:eastAsia="仿宋_GB2312" w:cs="仿宋_GB2312"/>
          <w:color w:val="000000"/>
          <w:kern w:val="0"/>
          <w:sz w:val="32"/>
          <w:szCs w:val="32"/>
        </w:rPr>
        <w:t>功率放大器、驱动放大器、低噪声放大器、射频开关</w:t>
      </w:r>
      <w:r>
        <w:rPr>
          <w:rFonts w:hint="eastAsia" w:ascii="仿宋_GB2312" w:hAnsi="仿宋_GB2312" w:eastAsia="仿宋_GB2312" w:cs="仿宋_GB2312"/>
          <w:color w:val="000000"/>
          <w:kern w:val="0"/>
          <w:sz w:val="32"/>
          <w:szCs w:val="32"/>
        </w:rPr>
        <w:t>、滤波器等，实现关键器件的产业化。</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）5G关键设备：基于5G新型器件的5G关键设备的研发及应用，包括5G核心网、接入网、传输设备、大规模天线、测试设备等，并实现关键设备产业化。</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（4）5G终端：基于5G终端芯片的5G终端设备的研发及应用，包括手持终端、智能终端、各类物联网终端及可穿戴设备等，并实现5G终端设备产业化。</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（5）5G业务应用开发：结合北京冬奥会、世园会、城市副中心等重点区域的建设布局，</w:t>
      </w:r>
      <w:r>
        <w:rPr>
          <w:rFonts w:ascii="仿宋_GB2312" w:hAnsi="仿宋_GB2312" w:eastAsia="仿宋_GB2312" w:cs="仿宋_GB2312"/>
          <w:color w:val="000000"/>
          <w:kern w:val="0"/>
          <w:sz w:val="32"/>
          <w:szCs w:val="32"/>
        </w:rPr>
        <w:t>开展8K超高清直播、VR/AR体验、自动驾驶运营示范等5G创新性科技应用</w:t>
      </w:r>
      <w:r>
        <w:rPr>
          <w:rFonts w:hint="eastAsia" w:ascii="仿宋_GB2312" w:hAnsi="仿宋_GB2312" w:eastAsia="仿宋_GB2312" w:cs="仿宋_GB2312"/>
          <w:color w:val="000000"/>
          <w:kern w:val="0"/>
          <w:sz w:val="32"/>
          <w:szCs w:val="32"/>
        </w:rPr>
        <w:t>示范，加快5G应用场景部署；搭建5G产业推进平台。</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（6）</w:t>
      </w:r>
      <w:r>
        <w:rPr>
          <w:rFonts w:hint="eastAsia" w:ascii="仿宋_GB2312" w:hAnsi="仿宋_GB2312" w:eastAsia="仿宋_GB2312" w:cs="仿宋_GB2312"/>
          <w:color w:val="000000"/>
          <w:kern w:val="0"/>
          <w:sz w:val="32"/>
          <w:szCs w:val="32"/>
        </w:rPr>
        <w:t>先进</w:t>
      </w:r>
      <w:r>
        <w:rPr>
          <w:rFonts w:ascii="仿宋_GB2312" w:hAnsi="仿宋_GB2312" w:eastAsia="仿宋_GB2312" w:cs="仿宋_GB2312"/>
          <w:color w:val="000000"/>
          <w:kern w:val="0"/>
          <w:sz w:val="32"/>
          <w:szCs w:val="32"/>
        </w:rPr>
        <w:t>电子材料</w:t>
      </w:r>
      <w:r>
        <w:rPr>
          <w:rFonts w:hint="eastAsia" w:ascii="仿宋_GB2312" w:hAnsi="仿宋_GB2312" w:eastAsia="仿宋_GB2312" w:cs="仿宋_GB2312"/>
          <w:color w:val="000000"/>
          <w:kern w:val="0"/>
          <w:sz w:val="32"/>
          <w:szCs w:val="32"/>
        </w:rPr>
        <w:t>：蒸镀OLED及</w:t>
      </w:r>
      <w:r>
        <w:rPr>
          <w:rFonts w:ascii="仿宋_GB2312" w:hAnsi="仿宋_GB2312" w:eastAsia="仿宋_GB2312" w:cs="仿宋_GB2312"/>
          <w:color w:val="000000"/>
          <w:kern w:val="0"/>
          <w:sz w:val="32"/>
          <w:szCs w:val="32"/>
        </w:rPr>
        <w:t>印刷</w:t>
      </w:r>
      <w:r>
        <w:rPr>
          <w:rFonts w:hint="eastAsia" w:ascii="仿宋_GB2312" w:hAnsi="仿宋_GB2312" w:eastAsia="仿宋_GB2312" w:cs="仿宋_GB2312"/>
          <w:color w:val="000000"/>
          <w:kern w:val="0"/>
          <w:sz w:val="32"/>
          <w:szCs w:val="32"/>
        </w:rPr>
        <w:t>OLED用</w:t>
      </w:r>
      <w:r>
        <w:rPr>
          <w:rFonts w:ascii="仿宋_GB2312" w:hAnsi="仿宋_GB2312" w:eastAsia="仿宋_GB2312" w:cs="仿宋_GB2312"/>
          <w:color w:val="000000"/>
          <w:kern w:val="0"/>
          <w:sz w:val="32"/>
          <w:szCs w:val="32"/>
        </w:rPr>
        <w:t>发光材料</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柔性</w:t>
      </w:r>
      <w:r>
        <w:rPr>
          <w:rFonts w:hint="eastAsia" w:ascii="仿宋_GB2312" w:hAnsi="仿宋_GB2312" w:eastAsia="仿宋_GB2312" w:cs="仿宋_GB2312"/>
          <w:color w:val="000000"/>
          <w:kern w:val="0"/>
          <w:sz w:val="32"/>
          <w:szCs w:val="32"/>
        </w:rPr>
        <w:t>OLED基材</w:t>
      </w:r>
      <w:r>
        <w:rPr>
          <w:rFonts w:ascii="仿宋_GB2312" w:hAnsi="仿宋_GB2312" w:eastAsia="仿宋_GB2312" w:cs="仿宋_GB2312"/>
          <w:color w:val="000000"/>
          <w:kern w:val="0"/>
          <w:sz w:val="32"/>
          <w:szCs w:val="32"/>
        </w:rPr>
        <w:t>、薄膜封装材料</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量子点发光材料</w:t>
      </w:r>
      <w:r>
        <w:rPr>
          <w:rFonts w:hint="eastAsia" w:ascii="仿宋_GB2312" w:hAnsi="仿宋_GB2312" w:eastAsia="仿宋_GB2312" w:cs="仿宋_GB2312"/>
          <w:color w:val="000000"/>
          <w:kern w:val="0"/>
          <w:sz w:val="32"/>
          <w:szCs w:val="32"/>
        </w:rPr>
        <w:t>等</w:t>
      </w:r>
      <w:r>
        <w:rPr>
          <w:rFonts w:ascii="仿宋_GB2312" w:hAnsi="仿宋_GB2312" w:eastAsia="仿宋_GB2312" w:cs="仿宋_GB2312"/>
          <w:color w:val="000000"/>
          <w:kern w:val="0"/>
          <w:sz w:val="32"/>
          <w:szCs w:val="32"/>
        </w:rPr>
        <w:t>先进电子材料的产业化应用</w:t>
      </w:r>
      <w:r>
        <w:rPr>
          <w:rFonts w:hint="eastAsia" w:ascii="仿宋_GB2312" w:hAnsi="仿宋_GB2312" w:eastAsia="仿宋_GB2312" w:cs="仿宋_GB2312"/>
          <w:color w:val="000000"/>
          <w:kern w:val="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（7）高端</w:t>
      </w:r>
      <w:r>
        <w:rPr>
          <w:rFonts w:ascii="仿宋_GB2312" w:hAnsi="仿宋_GB2312" w:eastAsia="仿宋_GB2312" w:cs="仿宋_GB2312"/>
          <w:color w:val="000000"/>
          <w:kern w:val="0"/>
          <w:sz w:val="32"/>
          <w:szCs w:val="32"/>
        </w:rPr>
        <w:t>半导体显示装备：</w:t>
      </w:r>
      <w:r>
        <w:rPr>
          <w:rFonts w:hint="eastAsia" w:ascii="仿宋_GB2312" w:hAnsi="仿宋_GB2312" w:eastAsia="仿宋_GB2312" w:cs="仿宋_GB2312"/>
          <w:color w:val="000000"/>
          <w:kern w:val="0"/>
          <w:sz w:val="32"/>
          <w:szCs w:val="32"/>
        </w:rPr>
        <w:t>OLED蒸镀</w:t>
      </w:r>
      <w:r>
        <w:rPr>
          <w:rFonts w:ascii="仿宋_GB2312" w:hAnsi="仿宋_GB2312" w:eastAsia="仿宋_GB2312" w:cs="仿宋_GB2312"/>
          <w:color w:val="000000"/>
          <w:kern w:val="0"/>
          <w:sz w:val="32"/>
          <w:szCs w:val="32"/>
        </w:rPr>
        <w:t>设备</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喷墨打印设备、</w:t>
      </w:r>
      <w:r>
        <w:rPr>
          <w:rFonts w:hint="eastAsia" w:ascii="仿宋_GB2312" w:hAnsi="仿宋_GB2312" w:eastAsia="仿宋_GB2312" w:cs="仿宋_GB2312"/>
          <w:color w:val="000000"/>
          <w:kern w:val="0"/>
          <w:sz w:val="32"/>
          <w:szCs w:val="32"/>
        </w:rPr>
        <w:t>薄膜封装</w:t>
      </w:r>
      <w:r>
        <w:rPr>
          <w:rFonts w:ascii="仿宋_GB2312" w:hAnsi="仿宋_GB2312" w:eastAsia="仿宋_GB2312" w:cs="仿宋_GB2312"/>
          <w:color w:val="000000"/>
          <w:kern w:val="0"/>
          <w:sz w:val="32"/>
          <w:szCs w:val="32"/>
        </w:rPr>
        <w:t>设备、光刻</w:t>
      </w:r>
      <w:r>
        <w:rPr>
          <w:rFonts w:hint="eastAsia" w:ascii="仿宋_GB2312" w:hAnsi="仿宋_GB2312" w:eastAsia="仿宋_GB2312" w:cs="仿宋_GB2312"/>
          <w:color w:val="000000"/>
          <w:kern w:val="0"/>
          <w:sz w:val="32"/>
          <w:szCs w:val="32"/>
        </w:rPr>
        <w:t>设备/数字</w:t>
      </w:r>
      <w:r>
        <w:rPr>
          <w:rFonts w:ascii="仿宋_GB2312" w:hAnsi="仿宋_GB2312" w:eastAsia="仿宋_GB2312" w:cs="仿宋_GB2312"/>
          <w:color w:val="000000"/>
          <w:kern w:val="0"/>
          <w:sz w:val="32"/>
          <w:szCs w:val="32"/>
        </w:rPr>
        <w:t>曝光机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 xml:space="preserve"> PVD（物理气相沉积设备）、CVD（化学气相沉积设备）等</w:t>
      </w:r>
      <w:r>
        <w:rPr>
          <w:rFonts w:ascii="仿宋_GB2312" w:hAnsi="仿宋_GB2312" w:eastAsia="仿宋_GB2312" w:cs="仿宋_GB2312"/>
          <w:color w:val="000000"/>
          <w:sz w:val="32"/>
          <w:szCs w:val="32"/>
        </w:rPr>
        <w:t>核心装备的产业化应用</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（8）</w:t>
      </w:r>
      <w:r>
        <w:rPr>
          <w:rFonts w:hint="eastAsia" w:ascii="仿宋_GB2312" w:hAnsi="仿宋_GB2312" w:eastAsia="仿宋_GB2312" w:cs="仿宋_GB2312"/>
          <w:color w:val="000000"/>
          <w:kern w:val="0"/>
          <w:sz w:val="32"/>
          <w:szCs w:val="32"/>
        </w:rPr>
        <w:t>显示</w:t>
      </w:r>
      <w:r>
        <w:rPr>
          <w:rFonts w:ascii="仿宋_GB2312" w:hAnsi="仿宋_GB2312" w:eastAsia="仿宋_GB2312" w:cs="仿宋_GB2312"/>
          <w:color w:val="000000"/>
          <w:kern w:val="0"/>
          <w:sz w:val="32"/>
          <w:szCs w:val="32"/>
        </w:rPr>
        <w:t>专用</w:t>
      </w:r>
      <w:r>
        <w:rPr>
          <w:rFonts w:hint="eastAsia" w:ascii="仿宋_GB2312" w:hAnsi="仿宋_GB2312" w:eastAsia="仿宋_GB2312" w:cs="仿宋_GB2312"/>
          <w:color w:val="000000"/>
          <w:kern w:val="0"/>
          <w:sz w:val="32"/>
          <w:szCs w:val="32"/>
        </w:rPr>
        <w:t>IC：</w:t>
      </w:r>
      <w:r>
        <w:rPr>
          <w:rFonts w:ascii="仿宋_GB2312" w:hAnsi="仿宋_GB2312" w:eastAsia="仿宋_GB2312" w:cs="仿宋_GB2312"/>
          <w:color w:val="000000"/>
          <w:kern w:val="0"/>
          <w:sz w:val="32"/>
          <w:szCs w:val="32"/>
        </w:rPr>
        <w:t>手机等小尺寸</w:t>
      </w:r>
      <w:r>
        <w:rPr>
          <w:rFonts w:hint="eastAsia" w:ascii="仿宋_GB2312" w:hAnsi="仿宋_GB2312" w:eastAsia="仿宋_GB2312" w:cs="仿宋_GB2312"/>
          <w:color w:val="000000"/>
          <w:kern w:val="0"/>
          <w:sz w:val="32"/>
          <w:szCs w:val="32"/>
        </w:rPr>
        <w:t>TDDI IC、TV等</w:t>
      </w:r>
      <w:r>
        <w:rPr>
          <w:rFonts w:ascii="仿宋_GB2312" w:hAnsi="仿宋_GB2312" w:eastAsia="仿宋_GB2312" w:cs="仿宋_GB2312"/>
          <w:color w:val="000000"/>
          <w:kern w:val="0"/>
          <w:sz w:val="32"/>
          <w:szCs w:val="32"/>
        </w:rPr>
        <w:t>大尺寸显示</w:t>
      </w:r>
      <w:r>
        <w:rPr>
          <w:rFonts w:hint="eastAsia" w:ascii="仿宋_GB2312" w:hAnsi="仿宋_GB2312" w:eastAsia="仿宋_GB2312" w:cs="仿宋_GB2312"/>
          <w:color w:val="000000"/>
          <w:kern w:val="0"/>
          <w:sz w:val="32"/>
          <w:szCs w:val="32"/>
        </w:rPr>
        <w:t>D</w:t>
      </w:r>
      <w:r>
        <w:rPr>
          <w:rFonts w:ascii="仿宋_GB2312" w:hAnsi="仿宋_GB2312" w:eastAsia="仿宋_GB2312" w:cs="仿宋_GB2312"/>
          <w:color w:val="000000"/>
          <w:kern w:val="0"/>
          <w:sz w:val="32"/>
          <w:szCs w:val="32"/>
        </w:rPr>
        <w:t>river &amp; Tcon IC</w:t>
      </w:r>
      <w:r>
        <w:rPr>
          <w:rFonts w:hint="eastAsia" w:ascii="仿宋_GB2312" w:hAnsi="仿宋_GB2312" w:eastAsia="仿宋_GB2312" w:cs="仿宋_GB2312"/>
          <w:color w:val="000000"/>
          <w:kern w:val="0"/>
          <w:sz w:val="32"/>
          <w:szCs w:val="32"/>
        </w:rPr>
        <w:t>、8K超高清</w:t>
      </w:r>
      <w:r>
        <w:rPr>
          <w:rFonts w:ascii="仿宋_GB2312" w:hAnsi="仿宋_GB2312" w:eastAsia="仿宋_GB2312" w:cs="仿宋_GB2312"/>
          <w:color w:val="000000"/>
          <w:kern w:val="0"/>
          <w:sz w:val="32"/>
          <w:szCs w:val="32"/>
        </w:rPr>
        <w:t>显示专用</w:t>
      </w:r>
      <w:r>
        <w:rPr>
          <w:rFonts w:hint="eastAsia" w:ascii="仿宋_GB2312" w:hAnsi="仿宋_GB2312" w:eastAsia="仿宋_GB2312" w:cs="仿宋_GB2312"/>
          <w:color w:val="000000"/>
          <w:kern w:val="0"/>
          <w:sz w:val="32"/>
          <w:szCs w:val="32"/>
        </w:rPr>
        <w:t>I</w:t>
      </w:r>
      <w:r>
        <w:rPr>
          <w:rFonts w:ascii="仿宋_GB2312" w:hAnsi="仿宋_GB2312" w:eastAsia="仿宋_GB2312" w:cs="仿宋_GB2312"/>
          <w:color w:val="000000"/>
          <w:kern w:val="0"/>
          <w:sz w:val="32"/>
          <w:szCs w:val="32"/>
        </w:rPr>
        <w:t>C</w:t>
      </w:r>
      <w:r>
        <w:rPr>
          <w:rFonts w:hint="eastAsia" w:ascii="仿宋_GB2312" w:hAnsi="仿宋_GB2312" w:eastAsia="仿宋_GB2312" w:cs="仿宋_GB2312"/>
          <w:color w:val="000000"/>
          <w:kern w:val="0"/>
          <w:sz w:val="32"/>
          <w:szCs w:val="32"/>
        </w:rPr>
        <w:t>、OLED</w:t>
      </w:r>
      <w:r>
        <w:rPr>
          <w:rFonts w:ascii="仿宋_GB2312" w:hAnsi="仿宋_GB2312" w:eastAsia="仿宋_GB2312" w:cs="仿宋_GB2312"/>
          <w:color w:val="000000"/>
          <w:kern w:val="0"/>
          <w:sz w:val="32"/>
          <w:szCs w:val="32"/>
        </w:rPr>
        <w:t>驱动</w:t>
      </w:r>
      <w:r>
        <w:rPr>
          <w:rFonts w:hint="eastAsia" w:ascii="仿宋_GB2312" w:hAnsi="仿宋_GB2312" w:eastAsia="仿宋_GB2312" w:cs="仿宋_GB2312"/>
          <w:color w:val="000000"/>
          <w:kern w:val="0"/>
          <w:sz w:val="32"/>
          <w:szCs w:val="32"/>
        </w:rPr>
        <w:t>IC、</w:t>
      </w:r>
      <w:r>
        <w:rPr>
          <w:rFonts w:ascii="仿宋_GB2312" w:hAnsi="仿宋_GB2312" w:eastAsia="仿宋_GB2312" w:cs="仿宋_GB2312"/>
          <w:color w:val="000000"/>
          <w:kern w:val="0"/>
          <w:sz w:val="32"/>
          <w:szCs w:val="32"/>
        </w:rPr>
        <w:t>光学指纹识别</w:t>
      </w:r>
      <w:r>
        <w:rPr>
          <w:rFonts w:hint="eastAsia" w:ascii="仿宋_GB2312" w:hAnsi="仿宋_GB2312" w:eastAsia="仿宋_GB2312" w:cs="仿宋_GB2312"/>
          <w:color w:val="000000"/>
          <w:kern w:val="0"/>
          <w:sz w:val="32"/>
          <w:szCs w:val="32"/>
        </w:rPr>
        <w:t>/X光</w:t>
      </w:r>
      <w:r>
        <w:rPr>
          <w:rFonts w:ascii="仿宋_GB2312" w:hAnsi="仿宋_GB2312" w:eastAsia="仿宋_GB2312" w:cs="仿宋_GB2312"/>
          <w:color w:val="000000"/>
          <w:kern w:val="0"/>
          <w:sz w:val="32"/>
          <w:szCs w:val="32"/>
        </w:rPr>
        <w:t>探测器</w:t>
      </w:r>
      <w:r>
        <w:rPr>
          <w:rFonts w:hint="eastAsia" w:ascii="仿宋_GB2312" w:hAnsi="仿宋_GB2312" w:eastAsia="仿宋_GB2312" w:cs="仿宋_GB2312"/>
          <w:color w:val="000000"/>
          <w:kern w:val="0"/>
          <w:sz w:val="32"/>
          <w:szCs w:val="32"/>
        </w:rPr>
        <w:t>用ROIC等IC定制</w:t>
      </w:r>
      <w:r>
        <w:rPr>
          <w:rFonts w:ascii="仿宋_GB2312" w:hAnsi="仿宋_GB2312" w:eastAsia="仿宋_GB2312" w:cs="仿宋_GB2312"/>
          <w:color w:val="000000"/>
          <w:kern w:val="0"/>
          <w:sz w:val="32"/>
          <w:szCs w:val="32"/>
        </w:rPr>
        <w:t>开发，</w:t>
      </w:r>
      <w:r>
        <w:rPr>
          <w:rFonts w:hint="eastAsia" w:ascii="仿宋_GB2312" w:hAnsi="仿宋_GB2312" w:eastAsia="仿宋_GB2312" w:cs="仿宋_GB2312"/>
          <w:color w:val="000000"/>
          <w:kern w:val="0"/>
          <w:sz w:val="32"/>
          <w:szCs w:val="32"/>
        </w:rPr>
        <w:t>以及</w:t>
      </w:r>
      <w:r>
        <w:rPr>
          <w:rFonts w:ascii="仿宋_GB2312" w:hAnsi="仿宋_GB2312" w:eastAsia="仿宋_GB2312" w:cs="仿宋_GB2312"/>
          <w:color w:val="000000"/>
          <w:kern w:val="0"/>
          <w:sz w:val="32"/>
          <w:szCs w:val="32"/>
        </w:rPr>
        <w:t>自主</w:t>
      </w:r>
      <w:r>
        <w:rPr>
          <w:rFonts w:hint="eastAsia" w:ascii="仿宋_GB2312" w:hAnsi="仿宋_GB2312" w:eastAsia="仿宋_GB2312" w:cs="仿宋_GB2312"/>
          <w:color w:val="000000"/>
          <w:kern w:val="0"/>
          <w:sz w:val="32"/>
          <w:szCs w:val="32"/>
        </w:rPr>
        <w:t>BV3/RGBW/CHPI/HDR等</w:t>
      </w:r>
      <w:r>
        <w:rPr>
          <w:rFonts w:ascii="仿宋_GB2312" w:hAnsi="仿宋_GB2312" w:eastAsia="仿宋_GB2312" w:cs="仿宋_GB2312"/>
          <w:color w:val="000000"/>
          <w:kern w:val="0"/>
          <w:sz w:val="32"/>
          <w:szCs w:val="32"/>
        </w:rPr>
        <w:t>核心</w:t>
      </w:r>
      <w:r>
        <w:rPr>
          <w:rFonts w:hint="eastAsia" w:ascii="仿宋_GB2312" w:hAnsi="仿宋_GB2312" w:eastAsia="仿宋_GB2312" w:cs="仿宋_GB2312"/>
          <w:color w:val="000000"/>
          <w:kern w:val="0"/>
          <w:sz w:val="32"/>
          <w:szCs w:val="32"/>
        </w:rPr>
        <w:t>算法IP开发。</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w:t>
      </w:r>
      <w:r>
        <w:rPr>
          <w:rFonts w:ascii="仿宋_GB2312" w:hAnsi="仿宋_GB2312" w:eastAsia="仿宋_GB2312" w:cs="仿宋_GB2312"/>
          <w:color w:val="000000"/>
          <w:kern w:val="0"/>
          <w:sz w:val="32"/>
          <w:szCs w:val="32"/>
        </w:rPr>
        <w:t>新型显示器件：</w:t>
      </w:r>
      <w:r>
        <w:rPr>
          <w:rFonts w:hint="eastAsia" w:ascii="仿宋_GB2312" w:hAnsi="仿宋_GB2312" w:eastAsia="仿宋_GB2312" w:cs="仿宋_GB2312"/>
          <w:color w:val="000000"/>
          <w:kern w:val="0"/>
          <w:sz w:val="32"/>
          <w:szCs w:val="32"/>
        </w:rPr>
        <w:t>8K超高清</w:t>
      </w:r>
      <w:r>
        <w:rPr>
          <w:rFonts w:ascii="仿宋_GB2312" w:hAnsi="仿宋_GB2312" w:eastAsia="仿宋_GB2312" w:cs="仿宋_GB2312"/>
          <w:color w:val="000000"/>
          <w:kern w:val="0"/>
          <w:sz w:val="32"/>
          <w:szCs w:val="32"/>
        </w:rPr>
        <w:t>显示、柔性</w:t>
      </w:r>
      <w:r>
        <w:rPr>
          <w:rFonts w:hint="eastAsia" w:ascii="仿宋_GB2312" w:hAnsi="仿宋_GB2312" w:eastAsia="仿宋_GB2312" w:cs="仿宋_GB2312"/>
          <w:color w:val="000000"/>
          <w:kern w:val="0"/>
          <w:sz w:val="32"/>
          <w:szCs w:val="32"/>
        </w:rPr>
        <w:t>/折叠OLED显示、屏内</w:t>
      </w:r>
      <w:r>
        <w:rPr>
          <w:rFonts w:ascii="仿宋_GB2312" w:hAnsi="仿宋_GB2312" w:eastAsia="仿宋_GB2312" w:cs="仿宋_GB2312"/>
          <w:color w:val="000000"/>
          <w:kern w:val="0"/>
          <w:sz w:val="32"/>
          <w:szCs w:val="32"/>
        </w:rPr>
        <w:t>指纹识别、</w:t>
      </w:r>
      <w:r>
        <w:rPr>
          <w:rFonts w:hint="eastAsia" w:ascii="仿宋_GB2312" w:hAnsi="仿宋_GB2312" w:eastAsia="仿宋_GB2312" w:cs="仿宋_GB2312"/>
          <w:color w:val="000000"/>
          <w:kern w:val="0"/>
          <w:sz w:val="32"/>
          <w:szCs w:val="32"/>
        </w:rPr>
        <w:t>硅基</w:t>
      </w:r>
      <w:r>
        <w:rPr>
          <w:rFonts w:ascii="仿宋_GB2312" w:hAnsi="仿宋_GB2312" w:eastAsia="仿宋_GB2312" w:cs="仿宋_GB2312"/>
          <w:color w:val="000000"/>
          <w:kern w:val="0"/>
          <w:sz w:val="32"/>
          <w:szCs w:val="32"/>
        </w:rPr>
        <w:t>微显示</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量子点以及</w:t>
      </w:r>
      <w:r>
        <w:rPr>
          <w:rFonts w:hint="eastAsia" w:ascii="仿宋_GB2312" w:hAnsi="仿宋_GB2312" w:eastAsia="仿宋_GB2312" w:cs="仿宋_GB2312"/>
          <w:color w:val="000000"/>
          <w:kern w:val="0"/>
          <w:sz w:val="32"/>
          <w:szCs w:val="32"/>
        </w:rPr>
        <w:t>M</w:t>
      </w:r>
      <w:r>
        <w:rPr>
          <w:rFonts w:ascii="仿宋_GB2312" w:hAnsi="仿宋_GB2312" w:eastAsia="仿宋_GB2312" w:cs="仿宋_GB2312"/>
          <w:color w:val="000000"/>
          <w:kern w:val="0"/>
          <w:sz w:val="32"/>
          <w:szCs w:val="32"/>
        </w:rPr>
        <w:t>icro-LED</w:t>
      </w:r>
      <w:r>
        <w:rPr>
          <w:rFonts w:hint="eastAsia" w:ascii="仿宋_GB2312" w:hAnsi="仿宋_GB2312" w:eastAsia="仿宋_GB2312" w:cs="仿宋_GB2312"/>
          <w:color w:val="000000"/>
          <w:kern w:val="0"/>
          <w:sz w:val="32"/>
          <w:szCs w:val="32"/>
        </w:rPr>
        <w:t>显示</w:t>
      </w:r>
      <w:r>
        <w:rPr>
          <w:rFonts w:ascii="仿宋_GB2312" w:hAnsi="仿宋_GB2312" w:eastAsia="仿宋_GB2312" w:cs="仿宋_GB2312"/>
          <w:color w:val="000000"/>
          <w:kern w:val="0"/>
          <w:sz w:val="32"/>
          <w:szCs w:val="32"/>
        </w:rPr>
        <w:t>等</w:t>
      </w:r>
      <w:r>
        <w:rPr>
          <w:rFonts w:hint="eastAsia" w:ascii="仿宋_GB2312" w:hAnsi="仿宋_GB2312" w:eastAsia="仿宋_GB2312" w:cs="仿宋_GB2312"/>
          <w:color w:val="000000"/>
          <w:kern w:val="0"/>
          <w:sz w:val="32"/>
          <w:szCs w:val="32"/>
        </w:rPr>
        <w:t>新型</w:t>
      </w:r>
      <w:r>
        <w:rPr>
          <w:rFonts w:ascii="仿宋_GB2312" w:hAnsi="仿宋_GB2312" w:eastAsia="仿宋_GB2312" w:cs="仿宋_GB2312"/>
          <w:color w:val="000000"/>
          <w:kern w:val="0"/>
          <w:sz w:val="32"/>
          <w:szCs w:val="32"/>
        </w:rPr>
        <w:t>显示技术研发及产业化</w:t>
      </w:r>
      <w:r>
        <w:rPr>
          <w:rFonts w:hint="eastAsia" w:ascii="仿宋_GB2312" w:hAnsi="仿宋_GB2312" w:eastAsia="仿宋_GB2312" w:cs="仿宋_GB2312"/>
          <w:color w:val="000000"/>
          <w:kern w:val="0"/>
          <w:sz w:val="32"/>
          <w:szCs w:val="32"/>
        </w:rPr>
        <w:t>。</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w:t>
      </w:r>
      <w:r>
        <w:rPr>
          <w:rFonts w:hint="eastAsia" w:ascii="仿宋_GB2312" w:hAnsi="仿宋_GB2312" w:eastAsia="仿宋_GB2312" w:cs="仿宋_GB2312"/>
          <w:color w:val="000000"/>
          <w:kern w:val="0"/>
          <w:sz w:val="32"/>
          <w:szCs w:val="32"/>
        </w:rPr>
        <w:t>传感器件：光电传感、基因测序、分子天线、多体征传感、安防传感等传感器产品及其关键材料、器件等产业相关的研发及产业化应用。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hAnsi="仿宋_GB2312" w:eastAsia="仿宋_GB2312" w:cs="仿宋_GB2312"/>
          <w:color w:val="000000"/>
          <w:kern w:val="0"/>
          <w:sz w:val="32"/>
          <w:szCs w:val="32"/>
        </w:rPr>
        <w:t xml:space="preserve"> 集成电路</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hint="eastAsia" w:ascii="仿宋_GB2312" w:hAnsi="仿宋_GB2312" w:eastAsia="仿宋_GB2312" w:cs="仿宋_GB2312"/>
          <w:color w:val="000000"/>
          <w:kern w:val="0"/>
          <w:sz w:val="32"/>
          <w:szCs w:val="32"/>
        </w:rPr>
        <w:t>集成电路芯片设计：物联网、人工智能、云计算、移动通信、汽车电子等领域的关键核心芯片研发和产业化应用；设计企业公共服务平台及EDA工具。</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射频及功率器件：高端化合物射频器件、宽禁带半导体材料功率器件、新型功率半导体器件及创新服务平台。</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半导体设备和零部件：应用于大规模集成电路、LED、显示、先进封装、MEMS、功率半导体、III-V族半导体、光波导等领域的刻蚀机、PVD（物理气相沉积设备）、CVD（化学气相沉积设备）、ALD（原子层沉积设备）、退火设备、去胶设备、氧化/扩散设备、清洗机等核心工艺设备以及半导体设备用的核心零部件MFC（气体流量质量控制器）的研发和产业化应用。</w:t>
      </w:r>
    </w:p>
    <w:p>
      <w:pPr>
        <w:spacing w:line="560" w:lineRule="exact"/>
        <w:ind w:firstLine="640" w:firstLineChars="200"/>
        <w:rPr>
          <w:rFonts w:ascii="仿宋_GB2312" w:hAnsi="仿宋_GB2312" w:eastAsia="仿宋_GB2312" w:cs="仿宋_GB2312"/>
          <w:color w:val="000000"/>
          <w:kern w:val="0"/>
          <w:sz w:val="32"/>
          <w:szCs w:val="32"/>
        </w:rPr>
      </w:pPr>
      <w:r>
        <w:rPr>
          <w:rFonts w:ascii="仿宋_GB2312" w:eastAsia="仿宋_GB2312"/>
          <w:sz w:val="32"/>
          <w:szCs w:val="32"/>
        </w:rPr>
        <w:t xml:space="preserve">3. </w:t>
      </w:r>
      <w:bookmarkStart w:id="0" w:name="_Hlk517871926"/>
      <w:r>
        <w:rPr>
          <w:rFonts w:hint="eastAsia" w:ascii="仿宋_GB2312" w:hAnsi="仿宋_GB2312" w:eastAsia="仿宋_GB2312" w:cs="仿宋_GB2312"/>
          <w:color w:val="000000"/>
          <w:kern w:val="0"/>
          <w:sz w:val="32"/>
          <w:szCs w:val="32"/>
        </w:rPr>
        <w:t>医药健康</w:t>
      </w:r>
      <w:bookmarkEnd w:id="0"/>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（1）生物技术药物：基因工程重组蛋白质药物、抗体药物，重大疾病预防性和治疗性疫苗，细胞治疗产品。</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高端医疗器械：高端医学影像设备及关键部件，高通量体外诊断设备和产品，基因检测设备、试剂及生物信息软件，手术机器人、直线加速器等高端治疗设备，高值植介入产品及医用新材料，智能康复辅具。</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hAnsi="仿宋_GB2312" w:eastAsia="仿宋_GB2312" w:cs="仿宋_GB2312"/>
          <w:color w:val="000000"/>
          <w:kern w:val="0"/>
          <w:sz w:val="32"/>
          <w:szCs w:val="32"/>
        </w:rPr>
        <w:t>创新药物：新分子结构、新靶点、新作用机制药物，采用新型给药系统药物，临床短缺或急需药物，中药经典名方二次开发，创新妇科和儿童药物。</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（4）</w:t>
      </w:r>
      <w:r>
        <w:rPr>
          <w:rFonts w:hint="eastAsia" w:ascii="仿宋_GB2312" w:hAnsi="仿宋_GB2312" w:eastAsia="仿宋_GB2312" w:cs="仿宋_GB2312"/>
          <w:color w:val="000000"/>
          <w:kern w:val="0"/>
          <w:sz w:val="32"/>
          <w:szCs w:val="32"/>
        </w:rPr>
        <w:t>“互联网+”医药健康：基于互联网的人生理数据采集传输设备及系统，基于互联网的远程问诊、慢性病管理系统和产品，基于人工智能技术的病理和影像分析系统和产品，智能化中医药诊疗产品。</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（5）</w:t>
      </w:r>
      <w:r>
        <w:rPr>
          <w:rFonts w:hint="eastAsia" w:ascii="仿宋_GB2312" w:hAnsi="仿宋_GB2312" w:eastAsia="仿宋_GB2312" w:cs="仿宋_GB2312"/>
          <w:color w:val="000000"/>
          <w:kern w:val="0"/>
          <w:sz w:val="32"/>
          <w:szCs w:val="32"/>
        </w:rPr>
        <w:t>医药健康科技服务：医学工程转化机构和产业创新中心等协同创新服务机构，高水平CRO、CMO、CDMO服务平台。</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hAnsi="仿宋_GB2312" w:eastAsia="仿宋_GB2312" w:cs="仿宋_GB2312"/>
          <w:color w:val="000000"/>
          <w:kern w:val="0"/>
          <w:sz w:val="32"/>
          <w:szCs w:val="32"/>
        </w:rPr>
        <w:t>智能装备</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hint="eastAsia" w:ascii="仿宋_GB2312" w:hAnsi="仿宋_GB2312" w:eastAsia="仿宋_GB2312" w:cs="仿宋_GB2312"/>
          <w:color w:val="000000"/>
          <w:kern w:val="0"/>
          <w:sz w:val="32"/>
          <w:szCs w:val="32"/>
        </w:rPr>
        <w:t>智能核心装置及部件：MEMS传感器、高性能传感器、多功能传感器等高端新型传感器；工业互联网、可编程逻辑控制器，流程自动化、工厂自动化及轨道交通等智能控制系统；数字化、智能化、网络化仪表，检测分析仪器，精密科学仪器等高端仪器仪表；高精度高可靠性制动装置等精密传动装置，精密科学仪器等高端仪器仪表；高精度高可靠性制动装置等精密传动装置，精密减速器、伺服控制器、液气密元件及系统等智能制造基础零部件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智能装备：高档数控机床、机器人、增材制造、智能传感与控制、智能检测与装配等智能制造核心装备，计算机辅助设计与仿真设计、制造执行系统、企业管理系统、产品全生命周期管理等高端工业软件及系统，以及面向典型行业应用的装备智能化升级和系统成套装备等智能制造装备；高端新能源装备、能源互联网装备、能源自动化装备；公共安全和应急、科学仪器、特种与服务机器人、文物保护及数字创意等北京特色智能专用装备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hAnsi="仿宋_GB2312" w:eastAsia="仿宋_GB2312" w:cs="仿宋_GB2312"/>
          <w:color w:val="000000"/>
          <w:kern w:val="0"/>
          <w:sz w:val="32"/>
          <w:szCs w:val="32"/>
        </w:rPr>
        <w:t>新模式新业态推广应用：自动化生产线、数字化车间和智能工厂示范工程；个性化定制、网络协同制造、众包众筹和电子商务等新模式新业态应用；能源、节能环保等行业智能管理服务等。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（4）</w:t>
      </w:r>
      <w:r>
        <w:rPr>
          <w:rFonts w:hint="eastAsia" w:ascii="仿宋_GB2312" w:hAnsi="仿宋_GB2312" w:eastAsia="仿宋_GB2312" w:cs="仿宋_GB2312"/>
          <w:color w:val="000000"/>
          <w:kern w:val="0"/>
          <w:sz w:val="32"/>
          <w:szCs w:val="32"/>
        </w:rPr>
        <w:t>公共服务平台建设：围绕或聚焦十大高精尖产业的智能制造基础共性和关键应用标准试验验证平台、共性及关键技术开发平台、检验检测公共服务、网络化制造资源协同、覆盖智能制造各个关键环节的工业云和大数据平台、重大成果产业化等平台建设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hAnsi="仿宋_GB2312" w:eastAsia="仿宋_GB2312" w:cs="仿宋_GB2312"/>
          <w:color w:val="000000"/>
          <w:kern w:val="0"/>
          <w:sz w:val="32"/>
          <w:szCs w:val="32"/>
        </w:rPr>
        <w:t xml:space="preserve"> 节能环保</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（1）高效节能技术装备：高效清洁燃烧、节能电机等高效节能技术装备研发和应用，信息节能技术与节能服务。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w:t>
      </w:r>
      <w:r>
        <w:rPr>
          <w:rFonts w:hint="eastAsia" w:ascii="仿宋_GB2312" w:hAnsi="仿宋_GB2312" w:eastAsia="仿宋_GB2312" w:cs="仿宋_GB2312"/>
          <w:color w:val="000000"/>
          <w:kern w:val="0"/>
          <w:sz w:val="32"/>
          <w:szCs w:val="32"/>
        </w:rPr>
        <w:t>先进环保技术装备：大气污染防治关键技术装备研发应用，新型大气污染物监测仪器、汽车尾气处理装置研发应用；工业行业废水和生活污水处理、水体生态修复重建技术研发应用；土壤污染诊断、检测和修复技术研发应用；城镇生活垃圾、污泥、医疗废物和危险废物处理处置技术研发应用；新型吸声、隔声、隔振、减振材料及噪声治理技术、成套设备研发应用；环境污染监测治理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hAnsi="仿宋_GB2312" w:eastAsia="仿宋_GB2312" w:cs="仿宋_GB2312"/>
          <w:color w:val="000000"/>
          <w:kern w:val="0"/>
          <w:sz w:val="32"/>
          <w:szCs w:val="32"/>
        </w:rPr>
        <w:t>资源循环利用技术装备：废旧电器电子产品、动力蓄电池等高附加值再生资源的资源化利用及无害化处理技术装备研发；工业节水技术研发应用。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hAnsi="仿宋_GB2312" w:eastAsia="仿宋_GB2312" w:cs="仿宋_GB2312"/>
          <w:color w:val="000000"/>
          <w:kern w:val="0"/>
          <w:sz w:val="32"/>
          <w:szCs w:val="32"/>
        </w:rPr>
        <w:t xml:space="preserve"> 新能源智能汽车</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hint="eastAsia" w:ascii="仿宋_GB2312" w:hAnsi="仿宋_GB2312" w:eastAsia="仿宋_GB2312" w:cs="仿宋_GB2312"/>
          <w:color w:val="000000"/>
          <w:kern w:val="0"/>
          <w:sz w:val="32"/>
          <w:szCs w:val="32"/>
        </w:rPr>
        <w:t>全新纯电动整车平台：立足全新工艺、全新材料、全新理念，打造智能化、互联网化、轻量化全新纯电动汽车产品；车联网、人机互动、远程监控、大数据、云计算、自动泊车、GPS定位、语音互动等信息化、智能化技术；轻量化技术。</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智能网联汽车：车联网应用技术、信息融合技术、车辆集成控制技术、信息安全技术、车载传感器、控制器、执行器、智能决策及智能线控技术、信息安全技术等。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hAnsi="仿宋_GB2312" w:eastAsia="仿宋_GB2312" w:cs="仿宋_GB2312"/>
          <w:color w:val="000000"/>
          <w:kern w:val="0"/>
          <w:sz w:val="32"/>
          <w:szCs w:val="32"/>
        </w:rPr>
        <w:t>动力电池：下一代高比能量和高循环寿命动力电池材料（如正负极材料、电解液、隔膜）、BMS管理系统技术、电芯成组技术、动力电池装备制造技术、动力电池梯次利用技术、新型动力电池技术（燃料电池、全固态电池、锂硫电池、金属空气电池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（4）</w:t>
      </w:r>
      <w:r>
        <w:rPr>
          <w:rFonts w:hint="eastAsia" w:ascii="仿宋_GB2312" w:hAnsi="仿宋_GB2312" w:eastAsia="仿宋_GB2312" w:cs="仿宋_GB2312"/>
          <w:color w:val="000000"/>
          <w:kern w:val="0"/>
          <w:sz w:val="32"/>
          <w:szCs w:val="32"/>
        </w:rPr>
        <w:t>电驱动：高效率、高功率密度、高可靠性、数字化、轻量化等电驱动技术，机电集成技术、驱动器集成技术、IGBT元器件技术、轮毂电机技术、轮边电机技术等。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（5）</w:t>
      </w:r>
      <w:r>
        <w:rPr>
          <w:rFonts w:hint="eastAsia" w:ascii="仿宋_GB2312" w:hAnsi="仿宋_GB2312" w:eastAsia="仿宋_GB2312" w:cs="仿宋_GB2312"/>
          <w:color w:val="000000"/>
          <w:kern w:val="0"/>
          <w:sz w:val="32"/>
          <w:szCs w:val="32"/>
        </w:rPr>
        <w:t>关键电动附件技术：整车控制技术、电动助力转向系统技术、电辅助制动系统技术、充电装备等技术。</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（6）</w:t>
      </w:r>
      <w:r>
        <w:rPr>
          <w:rFonts w:hint="eastAsia" w:ascii="仿宋_GB2312" w:hAnsi="仿宋_GB2312" w:eastAsia="仿宋_GB2312" w:cs="仿宋_GB2312"/>
          <w:color w:val="000000"/>
          <w:kern w:val="0"/>
          <w:sz w:val="32"/>
          <w:szCs w:val="32"/>
        </w:rPr>
        <w:t>电动汽车示范推广：电动汽车分时租赁、充电设施建设及运营、充电设施云服务等。</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hAnsi="仿宋_GB2312" w:eastAsia="仿宋_GB2312" w:cs="仿宋_GB2312"/>
          <w:color w:val="000000"/>
          <w:kern w:val="0"/>
          <w:sz w:val="32"/>
          <w:szCs w:val="32"/>
        </w:rPr>
        <w:t xml:space="preserve"> 新材料</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hint="eastAsia" w:ascii="仿宋_GB2312" w:hAnsi="仿宋_GB2312" w:eastAsia="仿宋_GB2312" w:cs="仿宋_GB2312"/>
          <w:color w:val="000000"/>
          <w:kern w:val="0"/>
          <w:sz w:val="32"/>
          <w:szCs w:val="32"/>
        </w:rPr>
        <w:t>前沿新材料：超导材料、纳米材料、智能材料及生物材料。重点聚焦石墨烯、碳纳米管、形状记忆合金、超材料、医用金属及陶瓷材料等材料技术创新、产业化发展和规模化应用。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产业优势材料：稀土永磁材料；液晶显示材料及功能性膜材料等先进高分子材料；高性能玻璃纤维、碳纤维、陶瓷纤维增强树脂基或陶瓷基复合材料；先进陶瓷及人工晶体等新型无机非金属材料。</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hAnsi="仿宋_GB2312" w:eastAsia="仿宋_GB2312" w:cs="仿宋_GB2312"/>
          <w:color w:val="000000"/>
          <w:kern w:val="0"/>
          <w:sz w:val="32"/>
          <w:szCs w:val="32"/>
        </w:rPr>
        <w:t>支撑我市高精尖产业配套新材料</w:t>
      </w:r>
      <w:r>
        <w:rPr>
          <w:rFonts w:hint="eastAsia" w:hAnsi="仿宋_GB2312" w:cs="仿宋_GB2312"/>
          <w:color w:val="000000"/>
          <w:kern w:val="0"/>
          <w:sz w:val="32"/>
          <w:szCs w:val="32"/>
        </w:rPr>
        <w:t>：</w:t>
      </w:r>
      <w:r>
        <w:rPr>
          <w:rFonts w:hint="eastAsia" w:ascii="仿宋_GB2312" w:hAnsi="仿宋_GB2312" w:eastAsia="仿宋_GB2312" w:cs="仿宋_GB2312"/>
          <w:color w:val="000000"/>
          <w:kern w:val="0"/>
          <w:sz w:val="32"/>
          <w:szCs w:val="32"/>
        </w:rPr>
        <w:t>半导体材料、靶材、光刻胶等集成电路用新材料；锂离子电池正负极材料、电解质材料、隔膜材料等锂离子电池关键材料和车身用轻量化材料等新能源汽车用新材料；高温合金、钛合金、复合材料、热障涂层材料等航空航天用材料；陶瓷轴承、特种功能金属材料、高端金属结构材料等智能装备用新材料；人工关节、种植牙、心脏支架、人工晶状体、CT检测仪用晶体材料等医药健康用新材料；铜铟镓硒等第二代太阳能电池材料、风电叶片用复合材料等节能环保用新材料。</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hAnsi="仿宋_GB2312" w:eastAsia="仿宋_GB2312" w:cs="仿宋_GB2312"/>
          <w:color w:val="000000"/>
          <w:kern w:val="0"/>
          <w:sz w:val="32"/>
          <w:szCs w:val="32"/>
        </w:rPr>
        <w:t xml:space="preserve"> 人工智能</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hint="eastAsia" w:ascii="仿宋_GB2312" w:hAnsi="仿宋_GB2312" w:eastAsia="仿宋_GB2312" w:cs="仿宋_GB2312"/>
          <w:color w:val="000000"/>
          <w:kern w:val="0"/>
          <w:sz w:val="32"/>
          <w:szCs w:val="32"/>
        </w:rPr>
        <w:t>人工智能底层技术：机器学习算法、深度学习算法；语音识别、机器翻译、语义建模；机器视觉、卷积神经网络；高性能人工智能训练引擎；人工智能计算芯片。</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人工智能典型行业应用：智慧城市、智慧交通、智慧家居、智慧金融、智慧健康、智慧教育、无人驾驶、无人机及人工智能与其他行业深度结合的典型应用。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hAnsi="仿宋_GB2312" w:eastAsia="仿宋_GB2312" w:cs="仿宋_GB2312"/>
          <w:color w:val="000000"/>
          <w:kern w:val="0"/>
          <w:sz w:val="32"/>
          <w:szCs w:val="32"/>
        </w:rPr>
        <w:t xml:space="preserve"> </w:t>
      </w:r>
      <w:r>
        <w:rPr>
          <w:rFonts w:hint="eastAsia" w:ascii="仿宋_GB2312" w:hAnsi="黑体" w:eastAsia="仿宋_GB2312"/>
          <w:color w:val="000000"/>
          <w:kern w:val="0"/>
          <w:sz w:val="32"/>
          <w:szCs w:val="32"/>
        </w:rPr>
        <w:t>软件和信息服务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云计算、大数据共性技术：数据清洗工具、数据标注工具、数据共享工具；异构海量数据的存储、分析、展现的软硬件产品；大数据采集、处理、存储和数据交易平台；云计算高端服务器和一体机、绿色低功耗云计算服务器；虚拟化和云平台系统软件；云存储软硬件产品和服务；专业云计算解决方案；云计算IAAS、PAAS、SAAS服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（2）</w:t>
      </w:r>
      <w:r>
        <w:rPr>
          <w:rFonts w:hint="eastAsia" w:ascii="仿宋_GB2312" w:hAnsi="仿宋_GB2312" w:eastAsia="仿宋_GB2312" w:cs="仿宋_GB2312"/>
          <w:color w:val="000000"/>
          <w:kern w:val="0"/>
          <w:sz w:val="32"/>
          <w:szCs w:val="32"/>
        </w:rPr>
        <w:t>云计算、大数据行业应用：应用云计算、大数据的创新型服务；互联网、政府、企业和个人的大数据应用；智慧城市、工业、经济、民生等重点行业领域的云计算、大数据应用。</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（3）</w:t>
      </w:r>
      <w:r>
        <w:rPr>
          <w:rFonts w:hint="eastAsia" w:ascii="仿宋_GB2312" w:hAnsi="仿宋_GB2312" w:eastAsia="仿宋_GB2312" w:cs="仿宋_GB2312"/>
          <w:color w:val="000000"/>
          <w:kern w:val="0"/>
          <w:sz w:val="32"/>
          <w:szCs w:val="32"/>
        </w:rPr>
        <w:t>两化融合——工业互联网平台：跨行业、跨领域工业互联网平台及北京市高精尖重点行业工业互联网平台。</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（4）</w:t>
      </w:r>
      <w:r>
        <w:rPr>
          <w:rFonts w:hint="eastAsia" w:ascii="仿宋_GB2312" w:hAnsi="仿宋_GB2312" w:eastAsia="仿宋_GB2312" w:cs="仿宋_GB2312"/>
          <w:color w:val="000000"/>
          <w:kern w:val="0"/>
          <w:sz w:val="32"/>
          <w:szCs w:val="32"/>
        </w:rPr>
        <w:t>两化融合——两化融合管理平台：企业依托两化融合管理体系开展两化深度融合工作的管理平台。</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（5）</w:t>
      </w:r>
      <w:r>
        <w:rPr>
          <w:rFonts w:hint="eastAsia" w:ascii="仿宋_GB2312" w:hAnsi="仿宋_GB2312" w:eastAsia="仿宋_GB2312" w:cs="仿宋_GB2312"/>
          <w:color w:val="000000"/>
          <w:kern w:val="0"/>
          <w:sz w:val="32"/>
          <w:szCs w:val="32"/>
        </w:rPr>
        <w:t>两化融合——智慧管理平台：聚焦管理技术、管理模型软件化的管理平台。</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（6）</w:t>
      </w:r>
      <w:r>
        <w:rPr>
          <w:rFonts w:hint="eastAsia" w:ascii="仿宋_GB2312" w:hAnsi="仿宋_GB2312" w:eastAsia="仿宋_GB2312" w:cs="仿宋_GB2312"/>
          <w:color w:val="000000"/>
          <w:kern w:val="0"/>
          <w:sz w:val="32"/>
          <w:szCs w:val="32"/>
        </w:rPr>
        <w:t>网络安全——安全可信的中高端计算系统：基于国内可信标准的可信芯片、服务器、终端、系统软件、网络产品；基于可信技术标准的工具软件、应用软件产品和服务平台；面向国家重要信息系统的可信化加固、运维。</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（7）</w:t>
      </w:r>
      <w:r>
        <w:rPr>
          <w:rFonts w:hint="eastAsia" w:ascii="仿宋_GB2312" w:hAnsi="仿宋_GB2312" w:eastAsia="仿宋_GB2312" w:cs="仿宋_GB2312"/>
          <w:color w:val="000000"/>
          <w:kern w:val="0"/>
          <w:sz w:val="32"/>
          <w:szCs w:val="32"/>
        </w:rPr>
        <w:t>网络安全——关键行业安全应用：构建工控系统及网络自主可控安全防护体系、在能源、金融、通信、政务等关键领域支持行业安全应用及解决方案。</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hAnsi="仿宋_GB2312" w:eastAsia="仿宋_GB2312" w:cs="仿宋_GB2312"/>
          <w:color w:val="000000"/>
          <w:kern w:val="0"/>
          <w:sz w:val="32"/>
          <w:szCs w:val="32"/>
        </w:rPr>
        <w:t xml:space="preserve"> 位置导航</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位置导航关键技术：卫星遥感测绘软件和相关装置、公共服务平台；北斗卫星授时系统；卫星通信系统和终端；组合惯导系统，室内外精密定位导航授时产品。</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 xml:space="preserve"> 通用航空与卫星应用</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用航空：通用机场运行网络协同、通航运营服务保障体系建设；通用航空器整机、无人机、航空发动机、航空电子系统、航空材料等方面技术、产品、适航标准的研发应用；融合空域运行与安全保障、航空器地面维护保障等体系、技术、产品、标准的研发和应用。</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（2）卫星应用：卫星遥感、卫星导航、卫星通信、微小卫星应用等方向，核心芯片、数据、地理信息、应用终端、软硬件平台、应用服务体系建设等。</w:t>
      </w:r>
    </w:p>
    <w:p>
      <w:pPr>
        <w:spacing w:line="560" w:lineRule="exact"/>
        <w:ind w:firstLine="64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 xml:space="preserve"> 军民融合</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围绕太空、网络空间、海洋、生物、新能源、人工智能等军民融合重点领域，在国防和军队武器装备、后勤建设、训练管理、军事科研方面具有良好应用前景、满足迫切军事需求的技术、产品、服务，主要包括航空航天、网络与信息安全、指挥调度、军事大数据、通信及数据链、预警侦查、态势感知、雷达及红外探测、声呐及水听、气象水文探测、精确制导、光电对抗、电磁及光学防护、仿真推演及对抗演练、无人系统及机器人、生物仿生、先进材料、元器件及传感器、高性能电池及电源、储能及能源控制、核放射应用、特种车辆、应急救护、装备维修、后勤保障、智慧营区等。</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（2）通过国防科技成果转化的新技术、新产品，以及深海、深空、深地、深蓝领域的前沿技术和产品等。</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（3）军民融合产业创新园区、产业创新中心、创新平台建设项目。</w:t>
      </w:r>
    </w:p>
    <w:p>
      <w:p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（4）军工科研院所转制及军工单位混改项目。</w:t>
      </w:r>
    </w:p>
    <w:p>
      <w:pPr>
        <w:spacing w:line="560" w:lineRule="exact"/>
        <w:ind w:firstLine="640"/>
        <w:rPr>
          <w:rFonts w:ascii="黑体" w:hAnsi="黑体" w:eastAsia="黑体"/>
          <w:sz w:val="32"/>
          <w:szCs w:val="32"/>
        </w:rPr>
      </w:pPr>
      <w:r>
        <w:rPr>
          <w:rFonts w:hint="eastAsia" w:ascii="黑体" w:hAnsi="黑体" w:eastAsia="黑体"/>
          <w:sz w:val="32"/>
          <w:szCs w:val="32"/>
        </w:rPr>
        <w:t>三、高精尖阶段子基金设立基本要求</w:t>
      </w:r>
    </w:p>
    <w:p>
      <w:pPr>
        <w:spacing w:line="560" w:lineRule="exact"/>
        <w:ind w:firstLine="640"/>
        <w:rPr>
          <w:rFonts w:ascii="楷体_GB2312" w:eastAsia="楷体_GB2312"/>
          <w:sz w:val="32"/>
          <w:szCs w:val="32"/>
        </w:rPr>
      </w:pPr>
      <w:r>
        <w:rPr>
          <w:rFonts w:hint="eastAsia" w:ascii="楷体_GB2312" w:eastAsia="楷体_GB2312"/>
          <w:sz w:val="32"/>
          <w:szCs w:val="32"/>
        </w:rPr>
        <w:t>（一）设立方式</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科创基金高精尖阶段基金通过参股或合伙方式与社会资本共同设立子基金。根据高精尖产业发展特点和合作标的特征，以具体项目为依据，择优选择设立项目型基金、专项型基金、并购投资基金、股权投资基金等类型，并适时调整子基金及其投资方向和规模，其中：</w:t>
      </w:r>
    </w:p>
    <w:p>
      <w:pPr>
        <w:adjustRightInd w:val="0"/>
        <w:snapToGrid w:val="0"/>
        <w:spacing w:line="560" w:lineRule="exact"/>
        <w:ind w:firstLine="640" w:firstLineChars="200"/>
        <w:rPr>
          <w:rFonts w:ascii="仿宋_GB2312" w:hAnsi="宋体" w:eastAsia="仿宋_GB2312" w:cs="宋体"/>
          <w:bCs/>
          <w:sz w:val="32"/>
          <w:szCs w:val="32"/>
        </w:rPr>
      </w:pPr>
      <w:r>
        <w:rPr>
          <w:rFonts w:hint="eastAsia" w:ascii="仿宋_GB2312" w:hAnsi="宋体" w:eastAsia="仿宋_GB2312"/>
          <w:bCs/>
          <w:sz w:val="32"/>
          <w:szCs w:val="32"/>
        </w:rPr>
        <w:t>1.项目型基金：围绕北京市核心工作和重点任务，聚焦产业发展的核心环节，以计划新建和引进的重大项目资源为基础，</w:t>
      </w:r>
      <w:r>
        <w:rPr>
          <w:rFonts w:hint="eastAsia" w:ascii="仿宋_GB2312" w:hAnsi="宋体" w:eastAsia="仿宋_GB2312" w:cs="仿宋_GB2312"/>
          <w:bCs/>
          <w:sz w:val="32"/>
          <w:szCs w:val="32"/>
        </w:rPr>
        <w:t>择优选择社会投资管理机构设立</w:t>
      </w:r>
      <w:r>
        <w:rPr>
          <w:rFonts w:hint="eastAsia" w:ascii="仿宋_GB2312" w:hAnsi="宋体" w:eastAsia="仿宋_GB2312"/>
          <w:bCs/>
          <w:sz w:val="32"/>
          <w:szCs w:val="32"/>
        </w:rPr>
        <w:t>项目型基金</w:t>
      </w:r>
      <w:r>
        <w:rPr>
          <w:rFonts w:hint="eastAsia" w:ascii="仿宋_GB2312" w:hAnsi="宋体" w:eastAsia="仿宋_GB2312" w:cs="仿宋_GB2312"/>
          <w:bCs/>
          <w:sz w:val="32"/>
          <w:szCs w:val="32"/>
        </w:rPr>
        <w:t>，促进项目落地发展。</w:t>
      </w:r>
    </w:p>
    <w:p>
      <w:pPr>
        <w:adjustRightInd w:val="0"/>
        <w:snapToGrid w:val="0"/>
        <w:spacing w:line="560" w:lineRule="exact"/>
        <w:ind w:firstLine="640" w:firstLineChars="200"/>
        <w:rPr>
          <w:rFonts w:ascii="仿宋_GB2312" w:hAnsi="宋体" w:eastAsia="仿宋_GB2312" w:cs="仿宋_GB2312"/>
          <w:bCs/>
          <w:sz w:val="32"/>
          <w:szCs w:val="32"/>
        </w:rPr>
      </w:pPr>
      <w:r>
        <w:rPr>
          <w:rFonts w:hint="eastAsia" w:ascii="仿宋_GB2312" w:hAnsi="宋体" w:eastAsia="仿宋_GB2312"/>
          <w:bCs/>
          <w:sz w:val="32"/>
          <w:szCs w:val="32"/>
        </w:rPr>
        <w:t>2.专项型基金：</w:t>
      </w:r>
      <w:r>
        <w:rPr>
          <w:rFonts w:hint="eastAsia" w:ascii="仿宋_GB2312" w:hAnsi="宋体" w:eastAsia="仿宋_GB2312" w:cs="仿宋_GB2312"/>
          <w:bCs/>
          <w:sz w:val="32"/>
          <w:szCs w:val="32"/>
        </w:rPr>
        <w:t>围绕北京市重点发展的高精尖产业，择优选择社会投资管理机构共同设立专项型基金，投资于产业链发展中的核心关键环节，优化专项领域或区域产业布局，切实解决产业发展中的难点。</w:t>
      </w:r>
    </w:p>
    <w:p>
      <w:pPr>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cs="宋体"/>
          <w:bCs/>
          <w:sz w:val="32"/>
          <w:szCs w:val="32"/>
        </w:rPr>
        <w:t>3.并购投资基金：</w:t>
      </w:r>
      <w:r>
        <w:rPr>
          <w:rFonts w:hint="eastAsia" w:ascii="仿宋_GB2312" w:hAnsi="宋体" w:eastAsia="仿宋_GB2312" w:cs="仿宋_GB2312"/>
          <w:bCs/>
          <w:sz w:val="32"/>
          <w:szCs w:val="32"/>
        </w:rPr>
        <w:t>择优选择龙头企业联合社会投资管理机构共同</w:t>
      </w:r>
      <w:r>
        <w:rPr>
          <w:rFonts w:hint="eastAsia" w:ascii="仿宋_GB2312" w:hAnsi="宋体" w:eastAsia="仿宋_GB2312"/>
          <w:bCs/>
          <w:sz w:val="32"/>
          <w:szCs w:val="32"/>
        </w:rPr>
        <w:t>设立并购投资基金，以转移被并购企业股权为特征，</w:t>
      </w:r>
      <w:r>
        <w:rPr>
          <w:rFonts w:hint="eastAsia" w:ascii="仿宋_GB2312" w:hAnsi="宋体" w:eastAsia="仿宋_GB2312" w:cs="仿宋_GB2312"/>
          <w:bCs/>
          <w:sz w:val="32"/>
          <w:szCs w:val="32"/>
        </w:rPr>
        <w:t>优化行业资源配置，加快技术引进吸收，</w:t>
      </w:r>
      <w:r>
        <w:rPr>
          <w:rFonts w:hint="eastAsia" w:ascii="仿宋_GB2312" w:hAnsi="宋体" w:eastAsia="仿宋_GB2312"/>
          <w:bCs/>
          <w:sz w:val="32"/>
          <w:szCs w:val="32"/>
        </w:rPr>
        <w:t>推进符合</w:t>
      </w:r>
      <w:r>
        <w:rPr>
          <w:rFonts w:hint="eastAsia" w:ascii="仿宋_GB2312" w:hAnsi="宋体" w:eastAsia="仿宋_GB2312" w:cs="仿宋_GB2312"/>
          <w:bCs/>
          <w:sz w:val="32"/>
          <w:szCs w:val="32"/>
        </w:rPr>
        <w:t>高精尖产业的企业并购整合</w:t>
      </w:r>
      <w:r>
        <w:rPr>
          <w:rFonts w:hint="eastAsia" w:ascii="仿宋_GB2312" w:hAnsi="宋体" w:eastAsia="仿宋_GB2312"/>
          <w:bCs/>
          <w:sz w:val="32"/>
          <w:szCs w:val="32"/>
        </w:rPr>
        <w:t>。</w:t>
      </w:r>
    </w:p>
    <w:p>
      <w:pPr>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cs="宋体"/>
          <w:bCs/>
          <w:sz w:val="32"/>
          <w:szCs w:val="32"/>
        </w:rPr>
        <w:t>4.股权投资基金：</w:t>
      </w:r>
      <w:r>
        <w:rPr>
          <w:rFonts w:hint="eastAsia" w:ascii="仿宋_GB2312" w:hAnsi="宋体" w:eastAsia="仿宋_GB2312" w:cs="仿宋_GB2312"/>
          <w:bCs/>
          <w:sz w:val="32"/>
          <w:szCs w:val="32"/>
        </w:rPr>
        <w:t>择优选择社会投资管理机构共同设立股权投资基金，</w:t>
      </w:r>
      <w:r>
        <w:rPr>
          <w:rFonts w:hint="eastAsia" w:ascii="仿宋_GB2312" w:hAnsi="宋体" w:eastAsia="仿宋_GB2312"/>
          <w:bCs/>
          <w:sz w:val="32"/>
          <w:szCs w:val="32"/>
        </w:rPr>
        <w:t>投资于高精尖产业中具有产业化前景的企业，促进企业快速发展、做优做强。</w:t>
      </w:r>
    </w:p>
    <w:p>
      <w:pPr>
        <w:spacing w:line="560" w:lineRule="exact"/>
        <w:ind w:firstLine="640"/>
        <w:rPr>
          <w:rFonts w:ascii="楷体_GB2312" w:eastAsia="楷体_GB2312"/>
          <w:szCs w:val="32"/>
        </w:rPr>
      </w:pPr>
      <w:r>
        <w:rPr>
          <w:rFonts w:hint="eastAsia" w:ascii="楷体_GB2312" w:eastAsia="楷体_GB2312"/>
          <w:sz w:val="32"/>
          <w:szCs w:val="32"/>
        </w:rPr>
        <w:t>（二）出资比例</w:t>
      </w:r>
    </w:p>
    <w:p>
      <w:pPr>
        <w:pStyle w:val="11"/>
        <w:numPr>
          <w:ilvl w:val="0"/>
          <w:numId w:val="0"/>
        </w:numPr>
        <w:spacing w:line="560" w:lineRule="exact"/>
        <w:ind w:firstLine="640" w:firstLineChars="200"/>
        <w:rPr>
          <w:rFonts w:hAnsi="宋体"/>
          <w:szCs w:val="32"/>
        </w:rPr>
      </w:pPr>
      <w:r>
        <w:rPr>
          <w:rFonts w:hint="eastAsia" w:hAnsi="宋体"/>
          <w:szCs w:val="32"/>
        </w:rPr>
        <w:t>高精尖阶段对子基金参股比例一般不超过20%。对子基金参股比例高于2</w:t>
      </w:r>
      <w:r>
        <w:rPr>
          <w:rFonts w:hAnsi="宋体"/>
          <w:szCs w:val="32"/>
        </w:rPr>
        <w:t>0</w:t>
      </w:r>
      <w:r>
        <w:rPr>
          <w:rFonts w:hint="eastAsia" w:hAnsi="宋体"/>
          <w:szCs w:val="32"/>
        </w:rPr>
        <w:t>%且低于或等于</w:t>
      </w:r>
      <w:r>
        <w:rPr>
          <w:rFonts w:hAnsi="宋体"/>
          <w:szCs w:val="32"/>
        </w:rPr>
        <w:t>30</w:t>
      </w:r>
      <w:r>
        <w:rPr>
          <w:rFonts w:hint="eastAsia" w:hAnsi="宋体"/>
          <w:szCs w:val="32"/>
        </w:rPr>
        <w:t>%的，应由高精尖阶段主责部门审批通过，出资比例超过30%的，应报北京市科技创新基金统筹联席会审定。</w:t>
      </w:r>
    </w:p>
    <w:p>
      <w:pPr>
        <w:spacing w:line="560" w:lineRule="exact"/>
        <w:ind w:left="640"/>
        <w:rPr>
          <w:rFonts w:ascii="楷体_GB2312" w:eastAsia="楷体_GB2312"/>
          <w:sz w:val="32"/>
          <w:szCs w:val="32"/>
        </w:rPr>
      </w:pPr>
      <w:r>
        <w:rPr>
          <w:rFonts w:hint="eastAsia" w:ascii="楷体_GB2312" w:eastAsia="楷体_GB2312"/>
          <w:sz w:val="32"/>
          <w:szCs w:val="32"/>
        </w:rPr>
        <w:t>（三）投资模式</w:t>
      </w:r>
    </w:p>
    <w:p>
      <w:pPr>
        <w:spacing w:line="560" w:lineRule="exact"/>
        <w:ind w:firstLine="640" w:firstLineChars="200"/>
        <w:rPr>
          <w:rFonts w:ascii="楷体_GB2312" w:eastAsia="楷体_GB2312"/>
          <w:sz w:val="32"/>
          <w:szCs w:val="32"/>
        </w:rPr>
      </w:pPr>
      <w:r>
        <w:rPr>
          <w:rFonts w:hint="eastAsia" w:ascii="仿宋_GB2312" w:eastAsia="仿宋_GB2312"/>
          <w:sz w:val="32"/>
          <w:szCs w:val="32"/>
        </w:rPr>
        <w:t>科创基金高精尖阶段募资、投资、投后管理、清算、退出等按照政府引导、市场化方式运作。基金管理过程中需充分发挥母基金管理机构发现项目、评估项目和实施投资管理的作用。</w:t>
      </w:r>
    </w:p>
    <w:p>
      <w:pPr>
        <w:spacing w:line="560" w:lineRule="exact"/>
        <w:ind w:left="640"/>
        <w:jc w:val="left"/>
        <w:rPr>
          <w:rFonts w:ascii="楷体_GB2312" w:eastAsia="楷体_GB2312"/>
          <w:sz w:val="32"/>
          <w:szCs w:val="32"/>
        </w:rPr>
      </w:pPr>
      <w:r>
        <w:rPr>
          <w:rFonts w:hint="eastAsia" w:ascii="楷体_GB2312" w:eastAsia="楷体_GB2312"/>
          <w:sz w:val="32"/>
          <w:szCs w:val="32"/>
        </w:rPr>
        <w:t>（四）投资比例要求</w:t>
      </w:r>
    </w:p>
    <w:p>
      <w:pPr>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项目型基金的全部认缴出资须投资于注册在北京的企业或</w:t>
      </w:r>
      <w:r>
        <w:rPr>
          <w:rFonts w:hint="eastAsia" w:ascii="仿宋_GB2312" w:hAnsi="MS Mincho" w:eastAsia="仿宋_GB2312" w:cs="MS Mincho"/>
          <w:sz w:val="32"/>
          <w:szCs w:val="32"/>
        </w:rPr>
        <w:t>通过投资保证被投企业在北京落地</w:t>
      </w:r>
      <w:r>
        <w:rPr>
          <w:rFonts w:hint="eastAsia" w:ascii="仿宋_GB2312" w:eastAsia="仿宋_GB2312"/>
          <w:sz w:val="32"/>
          <w:szCs w:val="32"/>
        </w:rPr>
        <w:t>；专项型基金投资于注册在北京的企业的资金额不低于认缴出资总额的90%；并购基金认缴出资总额的60%（含）以上投资原则上应通过注册在北京的行业重点企业退出，投资北京市企业通过IPO方式退出的，可适当放宽此比例限制；股权投资基金投资于注册在北京的企业及符合北京首都功能定位的外地企业在京落地的资金额不低于认缴出资总额的</w:t>
      </w:r>
      <w:r>
        <w:rPr>
          <w:rFonts w:ascii="仿宋_GB2312" w:eastAsia="仿宋_GB2312"/>
          <w:sz w:val="32"/>
          <w:szCs w:val="32"/>
        </w:rPr>
        <w:t>70%</w:t>
      </w:r>
      <w:r>
        <w:rPr>
          <w:rFonts w:hint="eastAsia" w:ascii="仿宋_GB2312" w:eastAsia="仿宋_GB2312"/>
          <w:sz w:val="32"/>
          <w:szCs w:val="32"/>
        </w:rPr>
        <w:t>。</w:t>
      </w:r>
    </w:p>
    <w:p>
      <w:pPr>
        <w:spacing w:line="560" w:lineRule="exact"/>
        <w:ind w:firstLine="640"/>
        <w:rPr>
          <w:rFonts w:ascii="楷体_GB2312" w:eastAsia="楷体_GB2312"/>
          <w:sz w:val="32"/>
          <w:szCs w:val="32"/>
        </w:rPr>
      </w:pPr>
      <w:r>
        <w:rPr>
          <w:rFonts w:hint="eastAsia" w:ascii="楷体_GB2312" w:eastAsia="楷体_GB2312"/>
          <w:sz w:val="32"/>
          <w:szCs w:val="32"/>
        </w:rPr>
        <w:t>（五）存续期</w:t>
      </w:r>
    </w:p>
    <w:p>
      <w:pPr>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子基金存续期</w:t>
      </w:r>
      <w:r>
        <w:rPr>
          <w:rFonts w:hint="eastAsia" w:ascii="仿宋_GB2312" w:hAnsi="宋体" w:eastAsia="仿宋_GB2312" w:cs="宋体"/>
          <w:sz w:val="32"/>
          <w:szCs w:val="32"/>
        </w:rPr>
        <w:t>原则上</w:t>
      </w:r>
      <w:r>
        <w:rPr>
          <w:rFonts w:hint="eastAsia" w:ascii="仿宋_GB2312" w:eastAsia="仿宋_GB2312"/>
          <w:sz w:val="32"/>
          <w:szCs w:val="32"/>
        </w:rPr>
        <w:t>不超过8年，其中退出期不超过4年。</w:t>
      </w:r>
    </w:p>
    <w:p>
      <w:pPr>
        <w:spacing w:line="560" w:lineRule="exact"/>
        <w:ind w:firstLine="640"/>
        <w:rPr>
          <w:rFonts w:ascii="楷体_GB2312" w:eastAsia="楷体_GB2312"/>
          <w:sz w:val="32"/>
          <w:szCs w:val="32"/>
        </w:rPr>
      </w:pPr>
      <w:r>
        <w:rPr>
          <w:rFonts w:hint="eastAsia" w:ascii="楷体_GB2312" w:eastAsia="楷体_GB2312"/>
          <w:sz w:val="32"/>
          <w:szCs w:val="32"/>
        </w:rPr>
        <w:t>（六）设立条件</w:t>
      </w:r>
    </w:p>
    <w:p>
      <w:pPr>
        <w:spacing w:line="560" w:lineRule="exact"/>
        <w:ind w:firstLine="640" w:firstLineChars="200"/>
        <w:textAlignment w:val="center"/>
        <w:rPr>
          <w:rFonts w:ascii="楷体_GB2312" w:eastAsia="楷体_GB2312"/>
          <w:sz w:val="32"/>
          <w:szCs w:val="32"/>
        </w:rPr>
      </w:pPr>
      <w:r>
        <w:rPr>
          <w:rFonts w:hint="eastAsia" w:ascii="仿宋_GB2312" w:hAnsi="宋体" w:eastAsia="仿宋_GB2312" w:cs="宋体"/>
          <w:sz w:val="32"/>
          <w:szCs w:val="32"/>
        </w:rPr>
        <w:t>申请高精尖阶段出资的子基金，应当具备以下条件：</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1</w:t>
      </w:r>
      <w:r>
        <w:rPr>
          <w:rFonts w:hAnsi="宋体"/>
          <w:szCs w:val="32"/>
        </w:rPr>
        <w:t>.</w:t>
      </w:r>
      <w:r>
        <w:rPr>
          <w:rFonts w:hint="eastAsia" w:hAnsi="宋体"/>
          <w:szCs w:val="32"/>
        </w:rPr>
        <w:t>子基金应新发起设立，具有明确的投资策略、风险控制措施和完善的投资管理流程、财务管理制度；</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2</w:t>
      </w:r>
      <w:r>
        <w:rPr>
          <w:rFonts w:hAnsi="宋体"/>
          <w:szCs w:val="32"/>
        </w:rPr>
        <w:t>.</w:t>
      </w:r>
      <w:r>
        <w:rPr>
          <w:rFonts w:hint="eastAsia" w:hAnsi="宋体"/>
          <w:szCs w:val="32"/>
        </w:rPr>
        <w:t>成立后在有关行业监管部门备案并接受监管；</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3</w:t>
      </w:r>
      <w:r>
        <w:rPr>
          <w:rFonts w:hAnsi="宋体"/>
          <w:szCs w:val="32"/>
        </w:rPr>
        <w:t>.</w:t>
      </w:r>
      <w:r>
        <w:rPr>
          <w:rFonts w:hint="eastAsia" w:hAnsi="宋体"/>
          <w:szCs w:val="32"/>
        </w:rPr>
        <w:t>投资领域和方向符合科创基金高精尖阶段政策导向目标及投资指南，聚焦于专业领域并有相对明确的项目储备；</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4</w:t>
      </w:r>
      <w:r>
        <w:rPr>
          <w:rFonts w:hAnsi="宋体"/>
          <w:szCs w:val="32"/>
        </w:rPr>
        <w:t>.</w:t>
      </w:r>
      <w:r>
        <w:rPr>
          <w:rFonts w:hint="eastAsia" w:hAnsi="宋体"/>
          <w:szCs w:val="32"/>
        </w:rPr>
        <w:t>子基金应注册在北京地区，投资境外标的不受此限制。</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5</w:t>
      </w:r>
      <w:r>
        <w:rPr>
          <w:rFonts w:hAnsi="宋体"/>
          <w:szCs w:val="32"/>
        </w:rPr>
        <w:t>.</w:t>
      </w:r>
      <w:r>
        <w:rPr>
          <w:rFonts w:hint="eastAsia" w:hAnsi="宋体"/>
          <w:szCs w:val="32"/>
        </w:rPr>
        <w:t>子基金应明确部分出资人作为基石投资人</w:t>
      </w:r>
      <w:r>
        <w:rPr>
          <w:rFonts w:hAnsi="宋体"/>
          <w:szCs w:val="32"/>
        </w:rPr>
        <w:t>,基石投资人认缴规模不低于基金认缴规模的40%</w:t>
      </w:r>
      <w:r>
        <w:rPr>
          <w:rFonts w:hint="eastAsia" w:hAnsi="宋体"/>
          <w:szCs w:val="32"/>
        </w:rPr>
        <w:t>。项目型基金、专项型基金、并购投资基金的基石投资人中应具备明确的核心产业投资人，且各基石出资人认缴出资额不低于</w:t>
      </w:r>
      <w:r>
        <w:rPr>
          <w:rFonts w:hAnsi="宋体"/>
          <w:szCs w:val="32"/>
        </w:rPr>
        <w:t>5000</w:t>
      </w:r>
      <w:r>
        <w:rPr>
          <w:rFonts w:hint="eastAsia" w:hAnsi="宋体"/>
          <w:szCs w:val="32"/>
        </w:rPr>
        <w:t>万元。股权投资基金各基石出资人认缴出资额不低于</w:t>
      </w:r>
      <w:r>
        <w:rPr>
          <w:rFonts w:hAnsi="宋体"/>
          <w:szCs w:val="32"/>
        </w:rPr>
        <w:t>3000</w:t>
      </w:r>
      <w:r>
        <w:rPr>
          <w:rFonts w:hint="eastAsia" w:hAnsi="宋体"/>
          <w:szCs w:val="32"/>
        </w:rPr>
        <w:t>万元。</w:t>
      </w:r>
    </w:p>
    <w:p>
      <w:pPr>
        <w:spacing w:line="560" w:lineRule="exact"/>
        <w:ind w:firstLine="640"/>
        <w:rPr>
          <w:rFonts w:ascii="楷体_GB2312" w:eastAsia="楷体_GB2312"/>
          <w:sz w:val="32"/>
          <w:szCs w:val="32"/>
        </w:rPr>
      </w:pPr>
      <w:r>
        <w:rPr>
          <w:rFonts w:hint="eastAsia" w:ascii="楷体_GB2312" w:eastAsia="楷体_GB2312"/>
          <w:sz w:val="32"/>
          <w:szCs w:val="32"/>
        </w:rPr>
        <w:t>（七）其他约定</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1</w:t>
      </w:r>
      <w:r>
        <w:rPr>
          <w:rFonts w:hAnsi="宋体"/>
          <w:szCs w:val="32"/>
        </w:rPr>
        <w:t>.</w:t>
      </w:r>
      <w:r>
        <w:rPr>
          <w:rFonts w:hint="eastAsia" w:hAnsi="宋体"/>
          <w:szCs w:val="32"/>
        </w:rPr>
        <w:t>按照相关规定，</w:t>
      </w:r>
      <w:r>
        <w:rPr>
          <w:rFonts w:hint="eastAsia"/>
          <w:szCs w:val="32"/>
        </w:rPr>
        <w:t>母基金</w:t>
      </w:r>
      <w:r>
        <w:rPr>
          <w:rFonts w:hint="eastAsia" w:hAnsi="宋体"/>
          <w:szCs w:val="32"/>
        </w:rPr>
        <w:t>管理机构可向子基金派驻投委会成员、顾问咨询委员会成员或观察员，依据法律法规、主责部门意见等监督子基金的投资和运作。</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Ansi="宋体"/>
          <w:szCs w:val="32"/>
        </w:rPr>
        <w:t>2.</w:t>
      </w:r>
      <w:r>
        <w:rPr>
          <w:rFonts w:hint="eastAsia" w:hAnsi="宋体"/>
          <w:szCs w:val="32"/>
        </w:rPr>
        <w:t>科创基金在高精尖阶段不作为子基金普通合伙人，不干预子基金的具体投资经营决策。子基金违反法律法规、偏离政策导向和投资领域方向、突破投资比例限制、违反本细则以及违反《公司章程》或《合伙协议》（或“基金合同”）约定的行为，高精尖阶段主责部门有权要求母基金管理机构根据情况严重程度，采取终止出资等相应的措施。</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3</w:t>
      </w:r>
      <w:r>
        <w:rPr>
          <w:rFonts w:hAnsi="宋体"/>
          <w:szCs w:val="32"/>
        </w:rPr>
        <w:t>.</w:t>
      </w:r>
      <w:r>
        <w:rPr>
          <w:rFonts w:hint="eastAsia"/>
          <w:szCs w:val="32"/>
        </w:rPr>
        <w:t>未经主责部门同意，基石投资人和子基金管理机构不得先于母基金退出。</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4</w:t>
      </w:r>
      <w:r>
        <w:rPr>
          <w:rFonts w:hAnsi="宋体"/>
          <w:szCs w:val="32"/>
        </w:rPr>
        <w:t>.</w:t>
      </w:r>
      <w:r>
        <w:rPr>
          <w:rFonts w:hint="eastAsia" w:hAnsi="宋体"/>
          <w:szCs w:val="32"/>
        </w:rPr>
        <w:t>子基金协议中应明确，出现下列情况之一时，科创基金高精尖阶段可选择退出，且无需经由其他出资人同意，退出部分股权</w:t>
      </w:r>
      <w:r>
        <w:rPr>
          <w:rFonts w:hint="eastAsia"/>
          <w:szCs w:val="32"/>
        </w:rPr>
        <w:t>受让价格参照母基金出资额的评估值与母基金原始出资额按当期中国人民银行公布的贷款基准利率计算的本息之和两者孰高的原则确定</w:t>
      </w:r>
      <w:r>
        <w:rPr>
          <w:rFonts w:hint="eastAsia" w:hAnsi="宋体"/>
          <w:szCs w:val="32"/>
        </w:rPr>
        <w:t>：</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（1）投资基金方案确认后超过一年或投资协议及章程签署超过一年，未按规定程序和时间要求完成设立手续的；</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（2）科创基金高精尖阶段拨付至子基金账户一年以上，基金未开展投资业务的；</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（3）基金投资领域和方向不符合政策目标的；</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（4）基金未按相关重要法律文件约定投资的；</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（5）子基金管理机构发生影响投资和运营等实质性变化的；</w:t>
      </w:r>
    </w:p>
    <w:p>
      <w:pPr>
        <w:pStyle w:val="11"/>
        <w:numPr>
          <w:ilvl w:val="0"/>
          <w:numId w:val="0"/>
        </w:numPr>
        <w:tabs>
          <w:tab w:val="left" w:pos="0"/>
        </w:tabs>
        <w:adjustRightInd w:val="0"/>
        <w:snapToGrid w:val="0"/>
        <w:spacing w:line="560" w:lineRule="exact"/>
        <w:ind w:firstLine="640" w:firstLineChars="200"/>
        <w:rPr>
          <w:rFonts w:hAnsi="等线 Light"/>
          <w:szCs w:val="32"/>
        </w:rPr>
      </w:pPr>
      <w:r>
        <w:rPr>
          <w:rFonts w:hint="eastAsia" w:hAnsi="宋体"/>
          <w:color w:val="000000"/>
          <w:szCs w:val="32"/>
        </w:rPr>
        <w:t>（6）高精尖阶段子基金的投资接受后续评估。对评估结果与约定投资要求严重不符的，科创基金可单方面终止投资并收回已有出资，并在子基金的法律文件中明确约定</w:t>
      </w:r>
      <w:r>
        <w:rPr>
          <w:rFonts w:hint="eastAsia" w:hAnsi="等线 Light"/>
          <w:szCs w:val="32"/>
        </w:rPr>
        <w:t>。</w:t>
      </w:r>
    </w:p>
    <w:p>
      <w:pPr>
        <w:pStyle w:val="11"/>
        <w:numPr>
          <w:ilvl w:val="0"/>
          <w:numId w:val="0"/>
        </w:numPr>
        <w:tabs>
          <w:tab w:val="left" w:pos="0"/>
        </w:tabs>
        <w:adjustRightInd w:val="0"/>
        <w:snapToGrid w:val="0"/>
        <w:spacing w:line="560" w:lineRule="exact"/>
        <w:rPr>
          <w:rFonts w:hAnsi="宋体"/>
          <w:szCs w:val="32"/>
        </w:rPr>
      </w:pPr>
      <w:r>
        <w:rPr>
          <w:rFonts w:hint="eastAsia" w:hAnsi="等线 Light"/>
          <w:szCs w:val="32"/>
        </w:rPr>
        <w:t xml:space="preserve"> </w:t>
      </w:r>
      <w:r>
        <w:rPr>
          <w:rFonts w:hAnsi="等线 Light"/>
          <w:szCs w:val="32"/>
        </w:rPr>
        <w:t xml:space="preserve">   </w:t>
      </w:r>
      <w:r>
        <w:rPr>
          <w:rFonts w:hint="eastAsia" w:hAnsi="宋体"/>
          <w:szCs w:val="32"/>
        </w:rPr>
        <w:t>（7）其他不符合基金相关重要法律文件约定情形的。</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5</w:t>
      </w:r>
      <w:r>
        <w:rPr>
          <w:rFonts w:hAnsi="宋体"/>
          <w:szCs w:val="32"/>
        </w:rPr>
        <w:t>.</w:t>
      </w:r>
      <w:r>
        <w:rPr>
          <w:rFonts w:hint="eastAsia"/>
        </w:rPr>
        <w:t xml:space="preserve"> </w:t>
      </w:r>
      <w:r>
        <w:rPr>
          <w:rFonts w:hint="eastAsia" w:hAnsi="宋体"/>
          <w:szCs w:val="32"/>
        </w:rPr>
        <w:t>科创基金高精尖阶段和子基金在运作过程中不得从事以下业务：</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（1）从事融资担保以外的担保、抵押、委托贷款等业务；</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（2）投资二级市场股票、期货、房地产、证券投资基金、企业债、信托产品、非保本型理财产品、保险计划及其他金融衍生品；</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（3）向任何第三方提供赞助、捐赠（经批准的公益性捐赠除外）；</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（4）吸收或变相吸收存款，或向第三方提供贷款和资金拆借；</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（5）进行承担无限连带责任的对外投资；</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（6）发行信托或集合理财产品募集资金；</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rPr>
        <w:t>（7）其他国家法律法规禁止从事的业务。</w:t>
      </w:r>
    </w:p>
    <w:p>
      <w:pPr>
        <w:spacing w:line="560" w:lineRule="exact"/>
        <w:ind w:firstLine="640"/>
        <w:rPr>
          <w:rFonts w:ascii="黑体" w:hAnsi="黑体" w:eastAsia="黑体"/>
          <w:sz w:val="32"/>
          <w:szCs w:val="32"/>
        </w:rPr>
      </w:pPr>
      <w:r>
        <w:rPr>
          <w:rFonts w:hint="eastAsia" w:ascii="黑体" w:hAnsi="黑体" w:eastAsia="黑体"/>
          <w:sz w:val="32"/>
          <w:szCs w:val="32"/>
        </w:rPr>
        <w:t>四、合作机构申请条件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符合条件的投资企业或投资管理企业(以下统称“投资机构”)可以作为申请者，申请设立子基金。多家投资机构拟共同发起子基金的，应推举一家机构作为申请者。</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（一）出资人基本要求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符合</w:t>
      </w:r>
      <w:r>
        <w:rPr>
          <w:rFonts w:ascii="仿宋_GB2312" w:eastAsia="仿宋_GB2312"/>
          <w:sz w:val="32"/>
          <w:szCs w:val="32"/>
        </w:rPr>
        <w:t>《关于规范金融机构资产管理业务的指导意见》发布</w:t>
      </w:r>
      <w:r>
        <w:rPr>
          <w:rFonts w:hint="eastAsia" w:ascii="仿宋_GB2312" w:eastAsia="仿宋_GB2312"/>
          <w:sz w:val="32"/>
          <w:szCs w:val="32"/>
        </w:rPr>
        <w:t>的有关要求，且自身及关联方不得存在违法违规等法律瑕疵；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除高精尖阶段主责部门批准的情况外，其他出资人不得晚于科创基金高精尖阶段出资。如果子基金其他出资人出资分批到位，科创基金高精尖阶段应与其他出资人按照认缴出资额同比例分批出资。</w:t>
      </w:r>
    </w:p>
    <w:p>
      <w:pPr>
        <w:spacing w:line="560" w:lineRule="exact"/>
        <w:ind w:firstLine="640" w:firstLineChars="200"/>
        <w:jc w:val="left"/>
        <w:rPr>
          <w:rFonts w:ascii="楷体_GB2312" w:eastAsia="楷体_GB2312"/>
          <w:sz w:val="32"/>
          <w:szCs w:val="32"/>
        </w:rPr>
      </w:pPr>
      <w:r>
        <w:rPr>
          <w:rFonts w:hint="eastAsia" w:ascii="楷体_GB2312" w:eastAsia="楷体_GB2312"/>
          <w:sz w:val="32"/>
          <w:szCs w:val="32"/>
        </w:rPr>
        <w:t>（二）子基金管理机构基本要求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申请者应当确定一家投资管理企业作为子基金的管理机构。子基金管理机构应具备以下条件：</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lang w:val="en-US" w:eastAsia="zh-CN"/>
        </w:rPr>
        <w:t>1.</w:t>
      </w:r>
      <w:r>
        <w:rPr>
          <w:rFonts w:hint="eastAsia"/>
          <w:szCs w:val="32"/>
        </w:rPr>
        <w:t>应具备或者子基金</w:t>
      </w:r>
      <w:r>
        <w:rPr>
          <w:rFonts w:hint="eastAsia" w:hAnsi="宋体"/>
          <w:szCs w:val="32"/>
        </w:rPr>
        <w:t>在中国证券投资基金业协会备案前完成</w:t>
      </w:r>
      <w:bookmarkStart w:id="1" w:name="OLE_LINK72"/>
      <w:bookmarkStart w:id="2" w:name="OLE_LINK73"/>
      <w:bookmarkStart w:id="3" w:name="OLE_LINK74"/>
      <w:r>
        <w:rPr>
          <w:rFonts w:hint="eastAsia" w:hAnsi="宋体"/>
          <w:szCs w:val="32"/>
        </w:rPr>
        <w:t>私募基金管理人登记手续</w:t>
      </w:r>
      <w:bookmarkEnd w:id="1"/>
      <w:bookmarkEnd w:id="2"/>
      <w:bookmarkEnd w:id="3"/>
      <w:r>
        <w:rPr>
          <w:rFonts w:hint="eastAsia" w:hAnsi="宋体"/>
          <w:szCs w:val="32"/>
        </w:rPr>
        <w:t>；</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lang w:val="en-US" w:eastAsia="zh-CN"/>
        </w:rPr>
        <w:t>2.</w:t>
      </w:r>
      <w:r>
        <w:rPr>
          <w:rFonts w:hint="eastAsia" w:hAnsi="宋体"/>
          <w:szCs w:val="32"/>
        </w:rPr>
        <w:t>具有完善的股权投资管理和风险控制流程，规范的项目遴选和投资决策机制，健全的内部财务管理制度，能够为所投资企业提供创业辅导、管理咨询等增值服务；</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lang w:val="en-US" w:eastAsia="zh-CN"/>
        </w:rPr>
        <w:t>3.</w:t>
      </w:r>
      <w:r>
        <w:rPr>
          <w:rFonts w:hint="eastAsia" w:hAnsi="宋体"/>
          <w:szCs w:val="32"/>
        </w:rPr>
        <w:t>管理团队稳定，具有良好的管理业绩和职业操守。同时，一般应至少具有3名具备3年以上股权投资或基金管理工作经验的专职高级管理人员，一般应该主导过3个以上（含）股权投资成功案例，至少指定2名“投资关键人”；</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lang w:val="en-US" w:eastAsia="zh-CN"/>
        </w:rPr>
        <w:t>4.</w:t>
      </w:r>
      <w:r>
        <w:rPr>
          <w:rFonts w:hint="eastAsia" w:hAnsi="宋体"/>
          <w:szCs w:val="32"/>
        </w:rPr>
        <w:t xml:space="preserve">具有高精尖产业投资经验和背景，参与管理的高精尖产业股权投资规模累计不低于10亿元人民币； </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lang w:val="en-US" w:eastAsia="zh-CN"/>
        </w:rPr>
        <w:t>5.</w:t>
      </w:r>
      <w:r>
        <w:rPr>
          <w:rFonts w:hint="eastAsia" w:hAnsi="宋体"/>
          <w:szCs w:val="32"/>
        </w:rPr>
        <w:t>子基金管理机构及其高级管理人员无重大过失，无受到行政主管机关或司法机关有关处罚的不良记录。</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在子基金中的出资比例不低于1%。</w:t>
      </w:r>
    </w:p>
    <w:p>
      <w:pPr>
        <w:pStyle w:val="11"/>
        <w:numPr>
          <w:ilvl w:val="0"/>
          <w:numId w:val="0"/>
        </w:numPr>
        <w:tabs>
          <w:tab w:val="left" w:pos="0"/>
        </w:tabs>
        <w:adjustRightInd w:val="0"/>
        <w:snapToGrid w:val="0"/>
        <w:spacing w:line="560" w:lineRule="exact"/>
        <w:ind w:firstLine="640" w:firstLineChars="200"/>
        <w:rPr>
          <w:rFonts w:hAnsi="宋体"/>
          <w:szCs w:val="32"/>
        </w:rPr>
      </w:pPr>
      <w:r>
        <w:rPr>
          <w:rFonts w:hint="eastAsia" w:hAnsi="宋体"/>
          <w:szCs w:val="32"/>
          <w:lang w:val="en-US" w:eastAsia="zh-CN"/>
        </w:rPr>
        <w:t>7.</w:t>
      </w:r>
      <w:r>
        <w:rPr>
          <w:rFonts w:hint="eastAsia" w:hAnsi="宋体"/>
          <w:szCs w:val="32"/>
        </w:rPr>
        <w:t>子基金管理人应在北京地区注册，投资境外标的可不受此限制。</w:t>
      </w:r>
    </w:p>
    <w:p>
      <w:pPr>
        <w:spacing w:line="560" w:lineRule="exact"/>
        <w:ind w:firstLine="640" w:firstLineChars="200"/>
        <w:rPr>
          <w:rFonts w:ascii="楷体_GB2312" w:eastAsia="楷体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子基金管理机构在完成基金认缴出资总额70%的投资之前，不得募集管理其他基金。</w:t>
      </w:r>
    </w:p>
    <w:p>
      <w:pPr>
        <w:pStyle w:val="11"/>
        <w:numPr>
          <w:ilvl w:val="0"/>
          <w:numId w:val="0"/>
        </w:numPr>
        <w:spacing w:line="560" w:lineRule="exact"/>
        <w:ind w:firstLine="640" w:firstLineChars="200"/>
        <w:rPr>
          <w:rFonts w:ascii="黑体" w:hAnsi="黑体" w:eastAsia="黑体"/>
          <w:szCs w:val="32"/>
        </w:rPr>
      </w:pPr>
      <w:r>
        <w:rPr>
          <w:rFonts w:hint="eastAsia" w:ascii="黑体" w:hAnsi="黑体" w:eastAsia="黑体"/>
          <w:szCs w:val="32"/>
        </w:rPr>
        <w:t>五、提交材料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申请者应提交的申报材料应当包括但不限于以下内容：</w:t>
      </w:r>
      <w:r>
        <w:rPr>
          <w:rFonts w:ascii="仿宋_GB2312" w:eastAsia="仿宋_GB2312"/>
          <w:sz w:val="32"/>
          <w:szCs w:val="32"/>
        </w:rPr>
        <w:t xml:space="preserve"> </w:t>
      </w:r>
    </w:p>
    <w:p>
      <w:pPr>
        <w:spacing w:line="560" w:lineRule="exact"/>
        <w:ind w:firstLine="640"/>
        <w:textAlignment w:val="center"/>
        <w:rPr>
          <w:rFonts w:ascii="仿宋_GB2312" w:eastAsia="仿宋_GB2312"/>
          <w:sz w:val="32"/>
          <w:szCs w:val="32"/>
        </w:rPr>
      </w:pPr>
      <w:r>
        <w:rPr>
          <w:rFonts w:hint="eastAsia" w:ascii="仿宋_GB2312" w:eastAsia="仿宋_GB2312"/>
          <w:sz w:val="32"/>
          <w:szCs w:val="32"/>
        </w:rPr>
        <w:t>（一）</w:t>
      </w:r>
      <w:r>
        <w:rPr>
          <w:rFonts w:hint="eastAsia" w:ascii="仿宋_GB2312" w:eastAsia="仿宋_GB2312"/>
          <w:bCs/>
          <w:sz w:val="32"/>
          <w:szCs w:val="32"/>
        </w:rPr>
        <w:t>《北京市科技创新基金申请表》</w:t>
      </w:r>
    </w:p>
    <w:p>
      <w:pPr>
        <w:spacing w:line="560" w:lineRule="exact"/>
        <w:ind w:firstLine="640"/>
        <w:textAlignment w:val="center"/>
        <w:rPr>
          <w:rFonts w:ascii="仿宋_GB2312" w:eastAsia="仿宋_GB2312"/>
          <w:sz w:val="32"/>
          <w:szCs w:val="32"/>
        </w:rPr>
      </w:pPr>
      <w:r>
        <w:rPr>
          <w:rFonts w:hint="eastAsia" w:ascii="仿宋_GB2312" w:eastAsia="仿宋_GB2312"/>
          <w:sz w:val="32"/>
          <w:szCs w:val="32"/>
        </w:rPr>
        <w:t>（二）申请者和子基金管理机构介绍、主要经营管理人员、投资关键人、相关投资业绩等；</w:t>
      </w:r>
    </w:p>
    <w:p>
      <w:pPr>
        <w:spacing w:line="560" w:lineRule="exact"/>
        <w:ind w:firstLine="640"/>
        <w:textAlignment w:val="center"/>
        <w:rPr>
          <w:rFonts w:ascii="仿宋_GB2312" w:eastAsia="仿宋_GB2312"/>
          <w:sz w:val="32"/>
          <w:szCs w:val="32"/>
        </w:rPr>
      </w:pPr>
      <w:r>
        <w:rPr>
          <w:rFonts w:hint="eastAsia" w:ascii="仿宋_GB2312" w:eastAsia="仿宋_GB2312"/>
          <w:sz w:val="32"/>
          <w:szCs w:val="32"/>
        </w:rPr>
        <w:t>（三）出资人介绍，主要出资人出资承诺或出资证明；</w:t>
      </w:r>
    </w:p>
    <w:p>
      <w:pPr>
        <w:spacing w:line="560" w:lineRule="exact"/>
        <w:ind w:firstLine="640"/>
        <w:textAlignment w:val="center"/>
        <w:rPr>
          <w:rFonts w:ascii="仿宋_GB2312" w:eastAsia="仿宋_GB2312"/>
          <w:sz w:val="32"/>
          <w:szCs w:val="32"/>
        </w:rPr>
      </w:pPr>
      <w:r>
        <w:rPr>
          <w:rFonts w:hint="eastAsia" w:ascii="仿宋_GB2312" w:eastAsia="仿宋_GB2312"/>
          <w:sz w:val="32"/>
          <w:szCs w:val="32"/>
        </w:rPr>
        <w:t>（四）子基金设立及管理方案，储备项目介绍；</w:t>
      </w:r>
    </w:p>
    <w:p>
      <w:pPr>
        <w:spacing w:line="560" w:lineRule="exact"/>
        <w:ind w:firstLine="640"/>
        <w:textAlignment w:val="center"/>
        <w:rPr>
          <w:rFonts w:ascii="仿宋_GB2312" w:eastAsia="仿宋_GB2312"/>
          <w:sz w:val="32"/>
          <w:szCs w:val="32"/>
        </w:rPr>
      </w:pPr>
      <w:r>
        <w:rPr>
          <w:rFonts w:hint="eastAsia" w:ascii="仿宋_GB2312" w:eastAsia="仿宋_GB2312"/>
          <w:sz w:val="32"/>
          <w:szCs w:val="32"/>
        </w:rPr>
        <w:t>（五）子基金管理机构内部管理制度、激励机制等；</w:t>
      </w:r>
    </w:p>
    <w:p>
      <w:pPr>
        <w:spacing w:line="560" w:lineRule="exact"/>
        <w:ind w:firstLine="640"/>
        <w:textAlignment w:val="center"/>
        <w:rPr>
          <w:rFonts w:ascii="仿宋_GB2312" w:eastAsia="仿宋_GB2312"/>
          <w:sz w:val="32"/>
          <w:szCs w:val="32"/>
        </w:rPr>
      </w:pPr>
      <w:r>
        <w:rPr>
          <w:rFonts w:hint="eastAsia" w:ascii="仿宋_GB2312" w:eastAsia="仿宋_GB2312"/>
          <w:sz w:val="32"/>
          <w:szCs w:val="32"/>
        </w:rPr>
        <w:t>（六）其他应当提交的材料。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六、本指南解释权归北京市经济和信息化委员会。</w:t>
      </w:r>
    </w:p>
    <w:p>
      <w:pPr>
        <w:spacing w:line="560" w:lineRule="exact"/>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等线 Light">
    <w:altName w:val="宋体"/>
    <w:panose1 w:val="00000000000000000000"/>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t>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15813596">
    <w:nsid w:val="66453CDC"/>
    <w:multiLevelType w:val="multilevel"/>
    <w:tmpl w:val="66453CDC"/>
    <w:lvl w:ilvl="0" w:tentative="1">
      <w:start w:val="1"/>
      <w:numFmt w:val="chineseCountingThousand"/>
      <w:pStyle w:val="11"/>
      <w:lvlText w:val="第%1条"/>
      <w:lvlJc w:val="left"/>
      <w:pPr>
        <w:ind w:left="987" w:hanging="420"/>
      </w:pPr>
      <w:rPr>
        <w:rFonts w:hint="eastAsia" w:ascii="黑体" w:hAnsi="黑体" w:eastAsia="黑体"/>
        <w:b/>
        <w:color w:val="000000"/>
        <w:sz w:val="24"/>
        <w:szCs w:val="24"/>
      </w:rPr>
    </w:lvl>
    <w:lvl w:ilvl="1" w:tentative="1">
      <w:start w:val="1"/>
      <w:numFmt w:val="lowerLetter"/>
      <w:lvlText w:val="%2)"/>
      <w:lvlJc w:val="left"/>
      <w:pPr>
        <w:ind w:left="420" w:hanging="420"/>
      </w:pPr>
    </w:lvl>
    <w:lvl w:ilvl="2" w:tentative="1">
      <w:start w:val="1"/>
      <w:numFmt w:val="lowerRoman"/>
      <w:lvlText w:val="%3."/>
      <w:lvlJc w:val="right"/>
      <w:pPr>
        <w:ind w:left="840" w:hanging="420"/>
      </w:pPr>
    </w:lvl>
    <w:lvl w:ilvl="3" w:tentative="1">
      <w:start w:val="1"/>
      <w:numFmt w:val="decimal"/>
      <w:lvlText w:val="%4."/>
      <w:lvlJc w:val="left"/>
      <w:pPr>
        <w:ind w:left="1260" w:hanging="420"/>
      </w:pPr>
    </w:lvl>
    <w:lvl w:ilvl="4" w:tentative="1">
      <w:start w:val="1"/>
      <w:numFmt w:val="lowerLetter"/>
      <w:lvlText w:val="%5)"/>
      <w:lvlJc w:val="left"/>
      <w:pPr>
        <w:ind w:left="1680" w:hanging="420"/>
      </w:pPr>
    </w:lvl>
    <w:lvl w:ilvl="5" w:tentative="1">
      <w:start w:val="1"/>
      <w:numFmt w:val="lowerRoman"/>
      <w:lvlText w:val="%6."/>
      <w:lvlJc w:val="right"/>
      <w:pPr>
        <w:ind w:left="2100" w:hanging="420"/>
      </w:pPr>
    </w:lvl>
    <w:lvl w:ilvl="6" w:tentative="1">
      <w:start w:val="1"/>
      <w:numFmt w:val="decimal"/>
      <w:lvlText w:val="%7."/>
      <w:lvlJc w:val="left"/>
      <w:pPr>
        <w:ind w:left="2520" w:hanging="420"/>
      </w:pPr>
    </w:lvl>
    <w:lvl w:ilvl="7" w:tentative="1">
      <w:start w:val="1"/>
      <w:numFmt w:val="lowerLetter"/>
      <w:lvlText w:val="%8)"/>
      <w:lvlJc w:val="left"/>
      <w:pPr>
        <w:ind w:left="2940" w:hanging="420"/>
      </w:pPr>
    </w:lvl>
    <w:lvl w:ilvl="8" w:tentative="1">
      <w:start w:val="1"/>
      <w:numFmt w:val="lowerRoman"/>
      <w:lvlText w:val="%9."/>
      <w:lvlJc w:val="right"/>
      <w:pPr>
        <w:ind w:left="3360" w:hanging="420"/>
      </w:pPr>
    </w:lvl>
  </w:abstractNum>
  <w:num w:numId="1">
    <w:abstractNumId w:val="1715813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E2CBD"/>
    <w:rsid w:val="0000597E"/>
    <w:rsid w:val="00020005"/>
    <w:rsid w:val="00020597"/>
    <w:rsid w:val="000218A0"/>
    <w:rsid w:val="000471B9"/>
    <w:rsid w:val="00053618"/>
    <w:rsid w:val="000569C8"/>
    <w:rsid w:val="0007168F"/>
    <w:rsid w:val="000725DE"/>
    <w:rsid w:val="00084FB8"/>
    <w:rsid w:val="000A27D0"/>
    <w:rsid w:val="000B31E6"/>
    <w:rsid w:val="000E7C61"/>
    <w:rsid w:val="00103D3C"/>
    <w:rsid w:val="001243D4"/>
    <w:rsid w:val="00127975"/>
    <w:rsid w:val="001418DD"/>
    <w:rsid w:val="0014290C"/>
    <w:rsid w:val="00142DF0"/>
    <w:rsid w:val="00146248"/>
    <w:rsid w:val="0014639B"/>
    <w:rsid w:val="00153DBF"/>
    <w:rsid w:val="001706DB"/>
    <w:rsid w:val="00181C80"/>
    <w:rsid w:val="001820E4"/>
    <w:rsid w:val="001834B4"/>
    <w:rsid w:val="001852AD"/>
    <w:rsid w:val="00187BC0"/>
    <w:rsid w:val="001B5865"/>
    <w:rsid w:val="001C2A04"/>
    <w:rsid w:val="001D445C"/>
    <w:rsid w:val="001E48EE"/>
    <w:rsid w:val="001F62D8"/>
    <w:rsid w:val="001F6DAC"/>
    <w:rsid w:val="00234B4C"/>
    <w:rsid w:val="00251357"/>
    <w:rsid w:val="00256E6F"/>
    <w:rsid w:val="0025794F"/>
    <w:rsid w:val="002737B0"/>
    <w:rsid w:val="00295029"/>
    <w:rsid w:val="002A14DA"/>
    <w:rsid w:val="002A73B2"/>
    <w:rsid w:val="002D28F5"/>
    <w:rsid w:val="002F68EB"/>
    <w:rsid w:val="003105B8"/>
    <w:rsid w:val="00316F1C"/>
    <w:rsid w:val="00350FD0"/>
    <w:rsid w:val="0035656B"/>
    <w:rsid w:val="00357492"/>
    <w:rsid w:val="00380492"/>
    <w:rsid w:val="003B0652"/>
    <w:rsid w:val="003B147E"/>
    <w:rsid w:val="003B2900"/>
    <w:rsid w:val="003B5F4E"/>
    <w:rsid w:val="003C4787"/>
    <w:rsid w:val="003D2E87"/>
    <w:rsid w:val="003D5E95"/>
    <w:rsid w:val="003E2073"/>
    <w:rsid w:val="003E6769"/>
    <w:rsid w:val="003E708B"/>
    <w:rsid w:val="003F0C5E"/>
    <w:rsid w:val="004128D4"/>
    <w:rsid w:val="0042675A"/>
    <w:rsid w:val="004310E6"/>
    <w:rsid w:val="00445CDE"/>
    <w:rsid w:val="0046219A"/>
    <w:rsid w:val="0046463F"/>
    <w:rsid w:val="004C0A59"/>
    <w:rsid w:val="004D3894"/>
    <w:rsid w:val="004D7F3E"/>
    <w:rsid w:val="00516BFE"/>
    <w:rsid w:val="00531CE1"/>
    <w:rsid w:val="00534533"/>
    <w:rsid w:val="0054262F"/>
    <w:rsid w:val="005743D1"/>
    <w:rsid w:val="00581A37"/>
    <w:rsid w:val="00584786"/>
    <w:rsid w:val="00587DE9"/>
    <w:rsid w:val="00596997"/>
    <w:rsid w:val="005A14FC"/>
    <w:rsid w:val="005A2536"/>
    <w:rsid w:val="005B4FDD"/>
    <w:rsid w:val="005B79C5"/>
    <w:rsid w:val="005C2AD5"/>
    <w:rsid w:val="005C3C08"/>
    <w:rsid w:val="005C6164"/>
    <w:rsid w:val="005D104E"/>
    <w:rsid w:val="005D277A"/>
    <w:rsid w:val="005D2F82"/>
    <w:rsid w:val="005E23C2"/>
    <w:rsid w:val="005E5A20"/>
    <w:rsid w:val="00602300"/>
    <w:rsid w:val="006078D3"/>
    <w:rsid w:val="0061397F"/>
    <w:rsid w:val="00616636"/>
    <w:rsid w:val="0065199B"/>
    <w:rsid w:val="0065624A"/>
    <w:rsid w:val="006650C5"/>
    <w:rsid w:val="006741CA"/>
    <w:rsid w:val="0067460E"/>
    <w:rsid w:val="006835CB"/>
    <w:rsid w:val="0069329F"/>
    <w:rsid w:val="00697433"/>
    <w:rsid w:val="006B0C40"/>
    <w:rsid w:val="006C0CAE"/>
    <w:rsid w:val="006D40CF"/>
    <w:rsid w:val="006D7F89"/>
    <w:rsid w:val="006E4E07"/>
    <w:rsid w:val="006E6DFE"/>
    <w:rsid w:val="006F2591"/>
    <w:rsid w:val="006F2FC9"/>
    <w:rsid w:val="006F5EEB"/>
    <w:rsid w:val="00717362"/>
    <w:rsid w:val="00717B34"/>
    <w:rsid w:val="00725713"/>
    <w:rsid w:val="0072598C"/>
    <w:rsid w:val="00727744"/>
    <w:rsid w:val="00737979"/>
    <w:rsid w:val="0074148B"/>
    <w:rsid w:val="00744672"/>
    <w:rsid w:val="007452BB"/>
    <w:rsid w:val="00752741"/>
    <w:rsid w:val="00753922"/>
    <w:rsid w:val="00753A5E"/>
    <w:rsid w:val="00753F34"/>
    <w:rsid w:val="007638B9"/>
    <w:rsid w:val="0076390B"/>
    <w:rsid w:val="00766362"/>
    <w:rsid w:val="007804AE"/>
    <w:rsid w:val="007905E6"/>
    <w:rsid w:val="007938FC"/>
    <w:rsid w:val="00795EDE"/>
    <w:rsid w:val="00796DA7"/>
    <w:rsid w:val="007A528D"/>
    <w:rsid w:val="007A5E83"/>
    <w:rsid w:val="007A6B4A"/>
    <w:rsid w:val="007C2CCC"/>
    <w:rsid w:val="007C749A"/>
    <w:rsid w:val="007D0861"/>
    <w:rsid w:val="007D51E7"/>
    <w:rsid w:val="007E7B7C"/>
    <w:rsid w:val="007F069C"/>
    <w:rsid w:val="007F5E1D"/>
    <w:rsid w:val="008011F4"/>
    <w:rsid w:val="00801DAE"/>
    <w:rsid w:val="00814C76"/>
    <w:rsid w:val="0081531B"/>
    <w:rsid w:val="0082178B"/>
    <w:rsid w:val="00825413"/>
    <w:rsid w:val="00841CB1"/>
    <w:rsid w:val="00852850"/>
    <w:rsid w:val="00852A60"/>
    <w:rsid w:val="008560E4"/>
    <w:rsid w:val="00890021"/>
    <w:rsid w:val="008A4773"/>
    <w:rsid w:val="008A7648"/>
    <w:rsid w:val="008B21C3"/>
    <w:rsid w:val="008B649E"/>
    <w:rsid w:val="008C5F86"/>
    <w:rsid w:val="008D55FC"/>
    <w:rsid w:val="008D665A"/>
    <w:rsid w:val="008E4F4C"/>
    <w:rsid w:val="00904D36"/>
    <w:rsid w:val="00916BEA"/>
    <w:rsid w:val="00927768"/>
    <w:rsid w:val="00944265"/>
    <w:rsid w:val="0094691D"/>
    <w:rsid w:val="0095537F"/>
    <w:rsid w:val="00955637"/>
    <w:rsid w:val="00973AF3"/>
    <w:rsid w:val="009748A3"/>
    <w:rsid w:val="009816FE"/>
    <w:rsid w:val="009830A4"/>
    <w:rsid w:val="00984740"/>
    <w:rsid w:val="00994645"/>
    <w:rsid w:val="009957C0"/>
    <w:rsid w:val="009B58F7"/>
    <w:rsid w:val="009E6688"/>
    <w:rsid w:val="009F30FB"/>
    <w:rsid w:val="009F325F"/>
    <w:rsid w:val="00A00A8D"/>
    <w:rsid w:val="00A37020"/>
    <w:rsid w:val="00A37936"/>
    <w:rsid w:val="00A4378E"/>
    <w:rsid w:val="00A452B1"/>
    <w:rsid w:val="00A86F7A"/>
    <w:rsid w:val="00A90C23"/>
    <w:rsid w:val="00A94B56"/>
    <w:rsid w:val="00A9574B"/>
    <w:rsid w:val="00AA3BA7"/>
    <w:rsid w:val="00AB459C"/>
    <w:rsid w:val="00AE423C"/>
    <w:rsid w:val="00AF1641"/>
    <w:rsid w:val="00AF39E6"/>
    <w:rsid w:val="00B024A6"/>
    <w:rsid w:val="00B02835"/>
    <w:rsid w:val="00B13FB2"/>
    <w:rsid w:val="00B325E6"/>
    <w:rsid w:val="00B33104"/>
    <w:rsid w:val="00B43151"/>
    <w:rsid w:val="00B44A39"/>
    <w:rsid w:val="00B549BB"/>
    <w:rsid w:val="00B76FF5"/>
    <w:rsid w:val="00B92B6E"/>
    <w:rsid w:val="00B92E6C"/>
    <w:rsid w:val="00BA5D9B"/>
    <w:rsid w:val="00BC3EFB"/>
    <w:rsid w:val="00BC7005"/>
    <w:rsid w:val="00BD14C6"/>
    <w:rsid w:val="00BE154B"/>
    <w:rsid w:val="00BE1813"/>
    <w:rsid w:val="00BE2CBD"/>
    <w:rsid w:val="00BE60DA"/>
    <w:rsid w:val="00BF2B85"/>
    <w:rsid w:val="00C037D1"/>
    <w:rsid w:val="00C05945"/>
    <w:rsid w:val="00C12466"/>
    <w:rsid w:val="00C2096F"/>
    <w:rsid w:val="00C31517"/>
    <w:rsid w:val="00C52718"/>
    <w:rsid w:val="00C536D5"/>
    <w:rsid w:val="00C53C47"/>
    <w:rsid w:val="00C53D46"/>
    <w:rsid w:val="00C57945"/>
    <w:rsid w:val="00C61C41"/>
    <w:rsid w:val="00C713A5"/>
    <w:rsid w:val="00CB174B"/>
    <w:rsid w:val="00CB2202"/>
    <w:rsid w:val="00CB457C"/>
    <w:rsid w:val="00CD3058"/>
    <w:rsid w:val="00CE79E8"/>
    <w:rsid w:val="00CF0624"/>
    <w:rsid w:val="00CF2368"/>
    <w:rsid w:val="00CF65FD"/>
    <w:rsid w:val="00D11005"/>
    <w:rsid w:val="00D13883"/>
    <w:rsid w:val="00D473D5"/>
    <w:rsid w:val="00D566D9"/>
    <w:rsid w:val="00D705BF"/>
    <w:rsid w:val="00D70D71"/>
    <w:rsid w:val="00D72885"/>
    <w:rsid w:val="00D77A63"/>
    <w:rsid w:val="00D77EB7"/>
    <w:rsid w:val="00DA0EE3"/>
    <w:rsid w:val="00DA5259"/>
    <w:rsid w:val="00DB6CAC"/>
    <w:rsid w:val="00DC60CF"/>
    <w:rsid w:val="00DE42C8"/>
    <w:rsid w:val="00DF4302"/>
    <w:rsid w:val="00DF6E89"/>
    <w:rsid w:val="00E02C42"/>
    <w:rsid w:val="00E155C3"/>
    <w:rsid w:val="00E27B94"/>
    <w:rsid w:val="00E30CD0"/>
    <w:rsid w:val="00E33C58"/>
    <w:rsid w:val="00E34AFF"/>
    <w:rsid w:val="00E3699B"/>
    <w:rsid w:val="00E36EB3"/>
    <w:rsid w:val="00E51FA1"/>
    <w:rsid w:val="00E72500"/>
    <w:rsid w:val="00E76461"/>
    <w:rsid w:val="00EA1DE4"/>
    <w:rsid w:val="00EA54CB"/>
    <w:rsid w:val="00EB22B2"/>
    <w:rsid w:val="00EB2F2C"/>
    <w:rsid w:val="00EB7F46"/>
    <w:rsid w:val="00EC514E"/>
    <w:rsid w:val="00EE20C9"/>
    <w:rsid w:val="00F2500D"/>
    <w:rsid w:val="00F2592F"/>
    <w:rsid w:val="00F364A1"/>
    <w:rsid w:val="00F410F9"/>
    <w:rsid w:val="00F62E46"/>
    <w:rsid w:val="00F8391B"/>
    <w:rsid w:val="00F84662"/>
    <w:rsid w:val="00F85B7F"/>
    <w:rsid w:val="00FA238F"/>
    <w:rsid w:val="00FA7AB1"/>
    <w:rsid w:val="00FC62FA"/>
    <w:rsid w:val="00FC69D1"/>
    <w:rsid w:val="00FD2D38"/>
    <w:rsid w:val="00FF18EE"/>
    <w:rsid w:val="00FF1BE0"/>
    <w:rsid w:val="1903130D"/>
    <w:rsid w:val="28D959AF"/>
    <w:rsid w:val="37CE3B92"/>
    <w:rsid w:val="4BEC0E0C"/>
    <w:rsid w:val="5E1614D1"/>
    <w:rsid w:val="6194270C"/>
    <w:rsid w:val="683A565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subject"/>
    <w:basedOn w:val="3"/>
    <w:next w:val="3"/>
    <w:link w:val="16"/>
    <w:unhideWhenUsed/>
    <w:uiPriority w:val="99"/>
    <w:rPr>
      <w:b/>
      <w:bCs/>
    </w:rPr>
  </w:style>
  <w:style w:type="paragraph" w:styleId="3">
    <w:name w:val="annotation text"/>
    <w:basedOn w:val="1"/>
    <w:link w:val="15"/>
    <w:unhideWhenUsed/>
    <w:uiPriority w:val="99"/>
    <w:pPr>
      <w:jc w:val="left"/>
    </w:pPr>
  </w:style>
  <w:style w:type="paragraph" w:styleId="4">
    <w:name w:val="Balloon Text"/>
    <w:basedOn w:val="1"/>
    <w:link w:val="17"/>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21"/>
      <w:szCs w:val="21"/>
    </w:rPr>
  </w:style>
  <w:style w:type="paragraph" w:customStyle="1" w:styleId="10">
    <w:name w:val="列出段落1"/>
    <w:basedOn w:val="1"/>
    <w:qFormat/>
    <w:uiPriority w:val="34"/>
    <w:pPr>
      <w:ind w:firstLine="420" w:firstLineChars="200"/>
    </w:pPr>
  </w:style>
  <w:style w:type="paragraph" w:customStyle="1" w:styleId="11">
    <w:name w:val="条"/>
    <w:basedOn w:val="10"/>
    <w:link w:val="12"/>
    <w:qFormat/>
    <w:uiPriority w:val="99"/>
    <w:pPr>
      <w:numPr>
        <w:ilvl w:val="0"/>
        <w:numId w:val="1"/>
      </w:numPr>
      <w:ind w:firstLine="0" w:firstLineChars="0"/>
    </w:pPr>
    <w:rPr>
      <w:rFonts w:ascii="仿宋_GB2312" w:eastAsia="仿宋_GB2312"/>
      <w:sz w:val="32"/>
      <w:szCs w:val="21"/>
    </w:rPr>
  </w:style>
  <w:style w:type="character" w:customStyle="1" w:styleId="12">
    <w:name w:val="条 Char Char"/>
    <w:link w:val="11"/>
    <w:qFormat/>
    <w:uiPriority w:val="99"/>
    <w:rPr>
      <w:rFonts w:ascii="仿宋_GB2312" w:hAnsi="Calibri" w:eastAsia="仿宋_GB2312" w:cs="Times New Roman"/>
      <w:sz w:val="32"/>
      <w:szCs w:val="21"/>
    </w:rPr>
  </w:style>
  <w:style w:type="character" w:customStyle="1" w:styleId="13">
    <w:name w:val="页眉 Char"/>
    <w:basedOn w:val="7"/>
    <w:link w:val="6"/>
    <w:uiPriority w:val="99"/>
    <w:rPr>
      <w:rFonts w:ascii="Calibri" w:hAnsi="Calibri" w:eastAsia="宋体" w:cs="Times New Roman"/>
      <w:sz w:val="18"/>
      <w:szCs w:val="18"/>
    </w:rPr>
  </w:style>
  <w:style w:type="character" w:customStyle="1" w:styleId="14">
    <w:name w:val="页脚 Char"/>
    <w:basedOn w:val="7"/>
    <w:link w:val="5"/>
    <w:uiPriority w:val="99"/>
    <w:rPr>
      <w:rFonts w:ascii="Calibri" w:hAnsi="Calibri" w:eastAsia="宋体" w:cs="Times New Roman"/>
      <w:sz w:val="18"/>
      <w:szCs w:val="18"/>
    </w:rPr>
  </w:style>
  <w:style w:type="character" w:customStyle="1" w:styleId="15">
    <w:name w:val="批注文字 Char"/>
    <w:basedOn w:val="7"/>
    <w:link w:val="3"/>
    <w:semiHidden/>
    <w:uiPriority w:val="99"/>
    <w:rPr>
      <w:rFonts w:ascii="Calibri" w:hAnsi="Calibri" w:eastAsia="宋体" w:cs="Times New Roman"/>
    </w:rPr>
  </w:style>
  <w:style w:type="character" w:customStyle="1" w:styleId="16">
    <w:name w:val="批注主题 Char"/>
    <w:basedOn w:val="15"/>
    <w:link w:val="2"/>
    <w:semiHidden/>
    <w:uiPriority w:val="99"/>
    <w:rPr>
      <w:rFonts w:ascii="Calibri" w:hAnsi="Calibri" w:eastAsia="宋体" w:cs="Times New Roman"/>
      <w:b/>
      <w:bCs/>
    </w:rPr>
  </w:style>
  <w:style w:type="character" w:customStyle="1" w:styleId="17">
    <w:name w:val="批注框文本 Char"/>
    <w:basedOn w:val="7"/>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1275</Words>
  <Characters>7269</Characters>
  <Lines>60</Lines>
  <Paragraphs>17</Paragraphs>
  <ScaleCrop>false</ScaleCrop>
  <LinksUpToDate>false</LinksUpToDate>
  <CharactersWithSpaces>0</CharactersWithSpaces>
  <Application>WPS Office 专业版_9.1.0.5189_F1E327BC-269C-435d-A152-05C5408002CA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2018-07-10T04:43:00Z</dcterms:created>
  <dc:creator>971063282@qq.com</dc:creator>
  <cp:lastModifiedBy>lenovo</cp:lastModifiedBy>
  <cp:lastPrinted>2018-08-16T06:47:00Z</cp:lastPrinted>
  <dcterms:modified xsi:type="dcterms:W3CDTF">2018-08-17T08:08:06Z</dcterms:modified>
  <dc:title>北京市科技创新基金高精尖产业阶段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2052-9.1.0.5189</vt:lpwstr>
  </property>
</Properties>
</file>