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jc w:val="center"/>
        <w:rPr>
          <w:rFonts w:hint="eastAsia" w:ascii="方正小标宋简体" w:hAnsi="方正小标宋简体" w:eastAsia="方正小标宋简体" w:cs="方正小标宋简体"/>
          <w:b w:val="0"/>
          <w:bCs/>
          <w:sz w:val="36"/>
          <w:szCs w:val="36"/>
        </w:rPr>
      </w:pPr>
    </w:p>
    <w:p>
      <w:pPr>
        <w:spacing w:line="52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关于北京市经济和信息化委员会</w:t>
      </w:r>
    </w:p>
    <w:p>
      <w:pPr>
        <w:spacing w:line="52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2015年"三公经费"预算财政拨款情况的说明</w:t>
      </w:r>
    </w:p>
    <w:p>
      <w:pPr>
        <w:spacing w:line="520" w:lineRule="exact"/>
        <w:jc w:val="center"/>
        <w:rPr>
          <w:rFonts w:ascii="宋体" w:hAnsi="宋体"/>
          <w:b/>
          <w:sz w:val="36"/>
          <w:szCs w:val="36"/>
        </w:rPr>
      </w:pPr>
    </w:p>
    <w:p>
      <w:pPr>
        <w:spacing w:line="520" w:lineRule="exact"/>
        <w:ind w:firstLine="568" w:firstLineChars="202"/>
        <w:rPr>
          <w:rFonts w:hint="eastAsia" w:ascii="黑体" w:hAnsi="黑体" w:eastAsia="黑体" w:cs="黑体"/>
          <w:b w:val="0"/>
          <w:bCs/>
          <w:sz w:val="28"/>
          <w:szCs w:val="28"/>
        </w:rPr>
      </w:pPr>
      <w:r>
        <w:rPr>
          <w:rFonts w:hint="eastAsia" w:ascii="黑体" w:hAnsi="黑体" w:eastAsia="黑体" w:cs="黑体"/>
          <w:b w:val="0"/>
          <w:bCs/>
          <w:sz w:val="28"/>
          <w:szCs w:val="28"/>
        </w:rPr>
        <w:t>一、"三公经费"的单位范围</w:t>
      </w:r>
    </w:p>
    <w:p>
      <w:pPr>
        <w:spacing w:line="520" w:lineRule="exact"/>
        <w:ind w:firstLine="566" w:firstLineChars="202"/>
        <w:rPr>
          <w:rFonts w:ascii="仿宋" w:hAnsi="仿宋" w:eastAsia="仿宋"/>
          <w:sz w:val="28"/>
          <w:szCs w:val="28"/>
        </w:rPr>
      </w:pPr>
      <w:r>
        <w:rPr>
          <w:rFonts w:hint="eastAsia" w:ascii="仿宋" w:hAnsi="仿宋" w:eastAsia="仿宋"/>
          <w:sz w:val="28"/>
          <w:szCs w:val="28"/>
        </w:rPr>
        <w:t>北京市经济和信息化委员会部门因公出国（境）费用、公务接待费、公务用车购置和运行维护费开支单位包括北京市经济和信息化委员会本级（行政单位）、北京市产业经济研究中心、北京市经济和信息化委员会信息中心、北京市工业系统劳动力资源交流中心、北京市乡镇企业局农民就业指导中心、北京市国防科技工业事务中心、北京软件与信息服务业促进中心、北京市经济和信息化委员会老干部服务中心、北京市工艺美术行业发展促进中心、北京市信息化项目评审中心、北京市政务信息安全应急处置中心等11个所属单位。</w:t>
      </w:r>
    </w:p>
    <w:p>
      <w:pPr>
        <w:spacing w:line="520" w:lineRule="exact"/>
        <w:ind w:firstLine="568" w:firstLineChars="202"/>
        <w:rPr>
          <w:rFonts w:hint="eastAsia" w:ascii="黑体" w:hAnsi="黑体" w:eastAsia="黑体" w:cs="黑体"/>
          <w:b w:val="0"/>
          <w:bCs/>
          <w:sz w:val="28"/>
          <w:szCs w:val="28"/>
        </w:rPr>
      </w:pPr>
      <w:r>
        <w:rPr>
          <w:rFonts w:hint="eastAsia" w:ascii="黑体" w:hAnsi="黑体" w:eastAsia="黑体" w:cs="黑体"/>
          <w:b w:val="0"/>
          <w:bCs/>
          <w:sz w:val="28"/>
          <w:szCs w:val="28"/>
        </w:rPr>
        <w:t>二、"三公经费"财政拨款情况说明</w:t>
      </w:r>
    </w:p>
    <w:p>
      <w:pPr>
        <w:spacing w:line="520" w:lineRule="exact"/>
        <w:ind w:firstLine="566" w:firstLineChars="202"/>
        <w:rPr>
          <w:rFonts w:ascii="仿宋" w:hAnsi="仿宋" w:eastAsia="仿宋"/>
          <w:sz w:val="28"/>
          <w:szCs w:val="28"/>
        </w:rPr>
      </w:pPr>
      <w:r>
        <w:rPr>
          <w:rFonts w:hint="eastAsia" w:ascii="仿宋" w:hAnsi="仿宋" w:eastAsia="仿宋"/>
          <w:sz w:val="28"/>
          <w:szCs w:val="28"/>
        </w:rPr>
        <w:t>2015年"三公经费"财政拨款预算338.546672万元，比2014年"三公经费"财政拨款预算减少15.64865万元。其中：</w:t>
      </w:r>
    </w:p>
    <w:p>
      <w:pPr>
        <w:spacing w:line="520" w:lineRule="exact"/>
        <w:ind w:firstLine="566" w:firstLineChars="202"/>
        <w:rPr>
          <w:rFonts w:ascii="仿宋" w:hAnsi="仿宋" w:eastAsia="仿宋"/>
          <w:sz w:val="28"/>
          <w:szCs w:val="28"/>
        </w:rPr>
      </w:pPr>
      <w:r>
        <w:rPr>
          <w:rFonts w:hint="eastAsia" w:ascii="仿宋" w:hAnsi="仿宋" w:eastAsia="仿宋"/>
          <w:sz w:val="28"/>
          <w:szCs w:val="28"/>
        </w:rPr>
        <w:t>1、因公出国（境）费用。2015年预算数149.08万元，与2014年预算数持平。2015年因公出国（境）费用主要用于参加国际间展览、展会、招商引资活动，组织工业、软件和信息化领域人才培训等</w:t>
      </w:r>
      <w:bookmarkStart w:id="0" w:name="_GoBack"/>
      <w:r>
        <w:rPr>
          <w:rFonts w:hint="eastAsia" w:ascii="仿宋" w:hAnsi="仿宋" w:eastAsia="仿宋"/>
          <w:sz w:val="28"/>
          <w:szCs w:val="28"/>
        </w:rPr>
        <w:t>方面。</w:t>
      </w:r>
    </w:p>
    <w:bookmarkEnd w:id="0"/>
    <w:p>
      <w:pPr>
        <w:spacing w:line="520" w:lineRule="exact"/>
        <w:ind w:firstLine="566" w:firstLineChars="202"/>
        <w:rPr>
          <w:rFonts w:ascii="仿宋" w:hAnsi="仿宋" w:eastAsia="仿宋"/>
          <w:sz w:val="28"/>
          <w:szCs w:val="28"/>
        </w:rPr>
      </w:pPr>
      <w:r>
        <w:rPr>
          <w:rFonts w:hint="eastAsia" w:ascii="仿宋" w:hAnsi="仿宋" w:eastAsia="仿宋"/>
          <w:sz w:val="28"/>
          <w:szCs w:val="28"/>
        </w:rPr>
        <w:t>2、公务接待费。2015年预算数9.466786万元，比2014年预算数减少3.948536万元，主要原因：按照中央八项规定减少公务接待压缩了公务接待费预算。</w:t>
      </w:r>
    </w:p>
    <w:p>
      <w:pPr>
        <w:spacing w:line="520" w:lineRule="exact"/>
        <w:ind w:firstLine="566" w:firstLineChars="202"/>
        <w:rPr>
          <w:rFonts w:ascii="仿宋" w:hAnsi="仿宋" w:eastAsia="仿宋"/>
          <w:sz w:val="28"/>
          <w:szCs w:val="28"/>
        </w:rPr>
      </w:pPr>
      <w:r>
        <w:rPr>
          <w:rFonts w:hint="eastAsia" w:ascii="仿宋" w:hAnsi="仿宋" w:eastAsia="仿宋"/>
          <w:sz w:val="28"/>
          <w:szCs w:val="28"/>
        </w:rPr>
        <w:t>3、公务用车购置和运行维护费。2015年预算数179.999886万元，其中，公务用车购置费2015年预算数0万元，</w:t>
      </w:r>
      <w:r>
        <w:rPr>
          <w:rFonts w:hint="eastAsia" w:ascii="仿宋" w:hAnsi="仿宋" w:eastAsia="仿宋"/>
          <w:sz w:val="28"/>
          <w:szCs w:val="28"/>
          <w:lang w:eastAsia="zh-CN"/>
        </w:rPr>
        <w:t>与</w:t>
      </w:r>
      <w:r>
        <w:rPr>
          <w:rFonts w:hint="eastAsia" w:ascii="仿宋" w:hAnsi="仿宋" w:eastAsia="仿宋"/>
          <w:sz w:val="28"/>
          <w:szCs w:val="28"/>
        </w:rPr>
        <w:t>2014预算数</w:t>
      </w:r>
      <w:r>
        <w:rPr>
          <w:rFonts w:hint="eastAsia" w:ascii="仿宋" w:hAnsi="仿宋" w:eastAsia="仿宋"/>
          <w:sz w:val="28"/>
          <w:szCs w:val="28"/>
          <w:lang w:eastAsia="zh-CN"/>
        </w:rPr>
        <w:t>持平</w:t>
      </w:r>
      <w:r>
        <w:rPr>
          <w:rFonts w:hint="eastAsia" w:ascii="仿宋" w:hAnsi="仿宋" w:eastAsia="仿宋"/>
          <w:sz w:val="28"/>
          <w:szCs w:val="28"/>
        </w:rPr>
        <w:t>；公务用车运行维护费2015年预算数179.999886万元，其中：公务用车加油94.747286万元，公务用车维修31.897万元，公务用车保险30.697万元，其他22.6586万元。比2014预算数191.7万元减少11.700114万元，主要原因：2014年报废车辆3台</w:t>
      </w:r>
      <w:r>
        <w:rPr>
          <w:rFonts w:hint="eastAsia" w:ascii="仿宋" w:hAnsi="仿宋" w:eastAsia="仿宋"/>
          <w:sz w:val="28"/>
          <w:szCs w:val="28"/>
          <w:lang w:eastAsia="zh-CN"/>
        </w:rPr>
        <w:t>，相应减少公车运行维护费用</w:t>
      </w:r>
      <w:r>
        <w:rPr>
          <w:rFonts w:hint="eastAsia" w:ascii="仿宋" w:hAnsi="仿宋" w:eastAsia="仿宋"/>
          <w:sz w:val="28"/>
          <w:szCs w:val="28"/>
        </w:rPr>
        <w:t>。</w:t>
      </w:r>
    </w:p>
    <w:p>
      <w:pPr>
        <w:spacing w:line="520" w:lineRule="exact"/>
        <w:rPr>
          <w:rFonts w:ascii="仿宋" w:hAnsi="仿宋" w:eastAsia="仿宋"/>
          <w:sz w:val="28"/>
          <w:szCs w:val="28"/>
        </w:rPr>
      </w:pPr>
    </w:p>
    <w:p>
      <w:pPr>
        <w:spacing w:line="520" w:lineRule="exact"/>
        <w:rPr>
          <w:rFonts w:ascii="仿宋" w:hAnsi="仿宋" w:eastAsia="仿宋"/>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0"/>
    <w:pPr>
      <w:tabs>
        <w:tab w:val="center" w:pos="4153"/>
        <w:tab w:val="right" w:pos="8306"/>
      </w:tabs>
      <w:snapToGrid w:val="0"/>
      <w:jc w:val="left"/>
    </w:pPr>
    <w:rPr>
      <w:sz w:val="18"/>
      <w:szCs w:val="18"/>
    </w:rPr>
  </w:style>
  <w:style w:type="paragraph" w:styleId="3">
    <w:name w:val="header"/>
    <w:basedOn w:val="1"/>
    <w:link w:val="5"/>
    <w:unhideWhenUsed/>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link w:val="3"/>
    <w:uiPriority w:val="0"/>
    <w:rPr>
      <w:rFonts w:ascii="Calibri" w:hAnsi="Calibri"/>
      <w:kern w:val="2"/>
      <w:sz w:val="18"/>
      <w:szCs w:val="18"/>
    </w:rPr>
  </w:style>
  <w:style w:type="character" w:customStyle="1" w:styleId="6">
    <w:name w:val="页脚 Char"/>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114</Words>
  <Characters>653</Characters>
  <Lines>5</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2014-12-01T08:35:00Z</dcterms:created>
  <dc:creator>邹根红</dc:creator>
  <cp:lastModifiedBy>邹根红</cp:lastModifiedBy>
  <cp:lastPrinted>2015-02-28T06:37:00Z</cp:lastPrinted>
  <dcterms:modified xsi:type="dcterms:W3CDTF">2015-03-02T09:18:57Z</dcterms:modified>
  <dc:title>"三公经费"预算财政拨款情况说明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