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1" w:name="_GoBack"/>
      <w:bookmarkEnd w:id="1"/>
    </w:p>
    <w:p>
      <w:pPr>
        <w:rPr>
          <w:rFonts w:hint="eastAsia"/>
          <w:lang w:val="en-US" w:eastAsia="zh-CN"/>
        </w:rPr>
      </w:pPr>
    </w:p>
    <w:p>
      <w:pPr>
        <w:pStyle w:val="9"/>
      </w:pPr>
      <w:r>
        <w:rPr>
          <w:rFonts w:hint="eastAsia"/>
        </w:rPr>
        <w:t>《北京市关于支持氢能产业发展的若干政策措施（</w:t>
      </w:r>
      <w:r>
        <w:rPr>
          <w:rFonts w:hint="eastAsia"/>
          <w:lang w:eastAsia="zh-CN"/>
        </w:rPr>
        <w:t>征求意见稿</w:t>
      </w:r>
      <w:r>
        <w:rPr>
          <w:rFonts w:hint="eastAsia"/>
        </w:rPr>
        <w:t>）》编制说明</w:t>
      </w:r>
    </w:p>
    <w:p>
      <w:pPr>
        <w:ind w:firstLine="640"/>
      </w:pPr>
    </w:p>
    <w:p>
      <w:pPr>
        <w:pStyle w:val="3"/>
        <w:ind w:firstLine="640"/>
      </w:pPr>
      <w:r>
        <w:rPr>
          <w:rFonts w:hint="eastAsia"/>
        </w:rPr>
        <w:t>一、编制背景</w:t>
      </w:r>
    </w:p>
    <w:p>
      <w:pPr>
        <w:ind w:firstLine="640"/>
      </w:pPr>
      <w:r>
        <w:t>2022年3月，《氢能产业发展中长期规划（2021-2035年）》正式印发，明确了氢能产业</w:t>
      </w:r>
      <w:r>
        <w:rPr>
          <w:rFonts w:hint="eastAsia"/>
        </w:rPr>
        <w:t>作为</w:t>
      </w:r>
      <w:r>
        <w:t>未来国家能源体系的重要组成部分</w:t>
      </w:r>
      <w:r>
        <w:rPr>
          <w:rFonts w:hint="eastAsia"/>
        </w:rPr>
        <w:t>、</w:t>
      </w:r>
      <w:r>
        <w:t>用能终端实现绿色低碳转型的重要载体</w:t>
      </w:r>
      <w:r>
        <w:rPr>
          <w:rFonts w:hint="eastAsia"/>
        </w:rPr>
        <w:t>和</w:t>
      </w:r>
      <w:r>
        <w:t>战略性新兴产业和未来产业重点发展方向的战略定位</w:t>
      </w:r>
      <w:r>
        <w:rPr>
          <w:rFonts w:hint="eastAsia"/>
        </w:rPr>
        <w:t>。提出面对新形势、新机遇、新挑战，亟需加强顶层设计和统筹谋划，进一步提升氢能产业创新能力，不断拓展市场应用新空间，引导产业健康有序发展。</w:t>
      </w:r>
    </w:p>
    <w:p>
      <w:pPr>
        <w:ind w:firstLine="640"/>
      </w:pPr>
      <w:r>
        <w:rPr>
          <w:rFonts w:hint="eastAsia"/>
        </w:rPr>
        <w:t>2</w:t>
      </w:r>
      <w:r>
        <w:t>021</w:t>
      </w:r>
      <w:r>
        <w:rPr>
          <w:rFonts w:hint="eastAsia"/>
        </w:rPr>
        <w:t>年，《北京市氢能产业发展实施方案（</w:t>
      </w:r>
      <w:r>
        <w:t>2021-2025年）》正式印发</w:t>
      </w:r>
      <w:r>
        <w:rPr>
          <w:rFonts w:hint="eastAsia"/>
        </w:rPr>
        <w:t>，顶层设计与配套措施加快构建，产业发展政策环境持续优化。为把握氢能产业发展的关键窗口期与机遇期，加快培育和发展北京市氢能产业，率先打造氢能创新链和产业链，推动氢能规模化应用，促进氢能生产和消费，为区域经济社会发展绿色转型提供支撑，我局</w:t>
      </w:r>
      <w:r>
        <w:rPr>
          <w:rFonts w:hint="eastAsia"/>
          <w:lang w:eastAsia="zh-CN"/>
        </w:rPr>
        <w:t>牵头</w:t>
      </w:r>
      <w:r>
        <w:rPr>
          <w:rFonts w:hint="eastAsia"/>
        </w:rPr>
        <w:t>编制了《北京市关于支持氢能产业发展的若干政策措施（</w:t>
      </w:r>
      <w:r>
        <w:rPr>
          <w:rFonts w:hint="eastAsia"/>
          <w:lang w:eastAsia="zh-CN"/>
        </w:rPr>
        <w:t>征求意见</w:t>
      </w:r>
      <w:r>
        <w:rPr>
          <w:rFonts w:hint="eastAsia"/>
        </w:rPr>
        <w:t>稿）》</w:t>
      </w:r>
      <w:r>
        <w:t>，</w:t>
      </w:r>
      <w:r>
        <w:rPr>
          <w:rFonts w:hint="eastAsia"/>
        </w:rPr>
        <w:t>以加强对氢能产业发展的扶持与引导。</w:t>
      </w:r>
    </w:p>
    <w:p>
      <w:pPr>
        <w:pStyle w:val="3"/>
        <w:ind w:firstLine="640"/>
      </w:pPr>
      <w:r>
        <w:rPr>
          <w:rFonts w:hint="eastAsia"/>
        </w:rPr>
        <w:t>二、编制依据</w:t>
      </w:r>
    </w:p>
    <w:p>
      <w:pPr>
        <w:ind w:firstLine="640"/>
        <w:textAlignment w:val="center"/>
      </w:pPr>
      <w:r>
        <w:rPr>
          <w:rFonts w:hint="eastAsia"/>
        </w:rPr>
        <w:t>主要编制依据包括《北京市“十四五”时期高精尖产业发展规划》、《北京市氢能产业发展实施方案（</w:t>
      </w:r>
      <w:r>
        <w:t>2021-2025年）》</w:t>
      </w:r>
      <w:r>
        <w:rPr>
          <w:rFonts w:hint="eastAsia"/>
        </w:rPr>
        <w:t>、《北京市加快新型基础设施建设行动方案（</w:t>
      </w:r>
      <w:r>
        <w:t>2020-2022年）</w:t>
      </w:r>
      <w:r>
        <w:rPr>
          <w:rFonts w:hint="eastAsia"/>
        </w:rPr>
        <w:t>》等有关方案规划，参考政策依据包括</w:t>
      </w:r>
      <w:bookmarkStart w:id="0" w:name="_Hlk104479271"/>
      <w:r>
        <w:rPr>
          <w:rFonts w:hint="eastAsia"/>
        </w:rPr>
        <w:t>《关于推动中关村加快建设世界领先科技园区的若干政策措施》系列政策</w:t>
      </w:r>
      <w:bookmarkEnd w:id="0"/>
      <w:r>
        <w:rPr>
          <w:rFonts w:hint="eastAsia"/>
        </w:rPr>
        <w:t>、《北京市关于促进“专精特新”中小企业高质量发展的若干措施》、《北京市中小企业公共服务示范平台管理办法》、《加快全国科技创新中心建设促进重大创新成果转化落地项目管理暂行办法》、《首都科技创新券资金管理办法》、《北京市促进中小企业发展条例》、《</w:t>
      </w:r>
      <w:r>
        <w:t>2022年北京市高精尖产业发展资金实施指南》</w:t>
      </w:r>
      <w:r>
        <w:rPr>
          <w:rFonts w:hint="eastAsia"/>
        </w:rPr>
        <w:t>、《北京市关于进一步完善市场导向的绿色技术创新体系若干措施》、《关于支持创新型中小企业在北京证券交易所上市融资发展的若干措施》、《北京市加氢站建设和运营补贴实施细则》、《关于促进本市新型基础设施投资中新技术新产品推广应用的若干措施》、《北京市燃料电池汽车示范应用项目资金支持细则》、《实施首都标准化战略补助资金管理办法》等现行政策，以及氢能产业发展的特点和实际需求。</w:t>
      </w:r>
    </w:p>
    <w:p>
      <w:pPr>
        <w:pStyle w:val="3"/>
        <w:ind w:firstLine="640"/>
      </w:pPr>
      <w:r>
        <w:rPr>
          <w:rFonts w:hint="eastAsia"/>
        </w:rPr>
        <w:t>三、主要内容</w:t>
      </w:r>
    </w:p>
    <w:p>
      <w:pPr>
        <w:ind w:firstLine="640"/>
      </w:pPr>
      <w:r>
        <w:rPr>
          <w:rFonts w:hint="eastAsia"/>
        </w:rPr>
        <w:t>政策措施共七个方向，19条，主要包括以下内容：</w:t>
      </w:r>
    </w:p>
    <w:p>
      <w:pPr>
        <w:ind w:firstLine="640"/>
      </w:pPr>
      <w:r>
        <w:rPr>
          <w:rFonts w:hint="eastAsia"/>
        </w:rPr>
        <w:t>第一个方向侧重支持科技研发创新，包括基础共性技术、强链筑基工程、科技创新平台3方面内容。</w:t>
      </w:r>
    </w:p>
    <w:p>
      <w:pPr>
        <w:ind w:firstLine="640"/>
      </w:pPr>
      <w:r>
        <w:rPr>
          <w:rFonts w:hint="eastAsia"/>
        </w:rPr>
        <w:t>第二个方向侧重支持技术装备应用，包括新材料首批次、首创产品进入市场、技术装备首台套3方面内容。</w:t>
      </w:r>
    </w:p>
    <w:p>
      <w:pPr>
        <w:ind w:firstLine="640"/>
      </w:pPr>
      <w:r>
        <w:rPr>
          <w:rFonts w:hint="eastAsia"/>
        </w:rPr>
        <w:t>第三个方向侧重支持</w:t>
      </w:r>
      <w:r>
        <w:rPr>
          <w:rFonts w:hint="eastAsia"/>
          <w:lang w:eastAsia="zh-CN"/>
        </w:rPr>
        <w:t>产</w:t>
      </w:r>
      <w:r>
        <w:rPr>
          <w:rFonts w:hint="eastAsia"/>
        </w:rPr>
        <w:t>业集聚发展，包括供应链协同、企业融资发展、</w:t>
      </w:r>
      <w:r>
        <w:t>企业</w:t>
      </w:r>
      <w:r>
        <w:rPr>
          <w:rFonts w:hint="eastAsia"/>
        </w:rPr>
        <w:t>扩大投资、企业孵化培育</w:t>
      </w:r>
      <w:r>
        <w:t>4</w:t>
      </w:r>
      <w:r>
        <w:rPr>
          <w:rFonts w:hint="eastAsia"/>
        </w:rPr>
        <w:t>方面内容。</w:t>
      </w:r>
    </w:p>
    <w:p>
      <w:pPr>
        <w:ind w:firstLine="640"/>
      </w:pPr>
      <w:r>
        <w:rPr>
          <w:rFonts w:hint="eastAsia"/>
        </w:rPr>
        <w:t>第四个方向侧重支持基础设施建设，包括加氢站建设运营、先进氢能设施建设2方面内容</w:t>
      </w:r>
      <w:r>
        <w:t>。</w:t>
      </w:r>
    </w:p>
    <w:p>
      <w:pPr>
        <w:ind w:firstLine="640"/>
      </w:pPr>
      <w:r>
        <w:rPr>
          <w:rFonts w:hint="eastAsia"/>
        </w:rPr>
        <w:t>第五个方向侧重支持示范推广应用，包括</w:t>
      </w:r>
      <w:r>
        <w:rPr>
          <w:rFonts w:hint="eastAsia"/>
          <w:lang w:eastAsia="zh-CN"/>
        </w:rPr>
        <w:t>燃料电池</w:t>
      </w:r>
      <w:r>
        <w:rPr>
          <w:rFonts w:hint="eastAsia"/>
        </w:rPr>
        <w:t>车辆推广、</w:t>
      </w:r>
      <w:r>
        <w:rPr>
          <w:rFonts w:hint="eastAsia"/>
          <w:lang w:eastAsia="zh-CN"/>
        </w:rPr>
        <w:t>氢能</w:t>
      </w:r>
      <w:r>
        <w:rPr>
          <w:rFonts w:hint="eastAsia"/>
        </w:rPr>
        <w:t>多领域示范应用2方面内容</w:t>
      </w:r>
      <w:r>
        <w:t>。</w:t>
      </w:r>
    </w:p>
    <w:p>
      <w:pPr>
        <w:ind w:firstLine="643"/>
      </w:pPr>
      <w:r>
        <w:rPr>
          <w:rFonts w:hint="eastAsia"/>
        </w:rPr>
        <w:t>第六个方向侧重支持标准体系建设，包括标准制修订、标准化活动</w:t>
      </w:r>
      <w:r>
        <w:t>2</w:t>
      </w:r>
      <w:r>
        <w:rPr>
          <w:rFonts w:hint="eastAsia"/>
        </w:rPr>
        <w:t>方面内容</w:t>
      </w:r>
      <w:r>
        <w:t>。</w:t>
      </w:r>
    </w:p>
    <w:p>
      <w:pPr>
        <w:ind w:firstLine="640"/>
      </w:pPr>
      <w:r>
        <w:rPr>
          <w:rFonts w:hint="eastAsia"/>
        </w:rPr>
        <w:t>第七个方向侧重支持服务体系建设，包括高端人才引进保障、专业服务机构建设、重大行业活动组织</w:t>
      </w:r>
      <w:r>
        <w:t>3</w:t>
      </w:r>
      <w:r>
        <w:rPr>
          <w:rFonts w:hint="eastAsia"/>
        </w:rPr>
        <w:t>方面内容</w:t>
      </w:r>
      <w: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09132"/>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C3"/>
    <w:rsid w:val="000176DF"/>
    <w:rsid w:val="000250AF"/>
    <w:rsid w:val="00034ECC"/>
    <w:rsid w:val="000458B7"/>
    <w:rsid w:val="00081337"/>
    <w:rsid w:val="000841EE"/>
    <w:rsid w:val="00097586"/>
    <w:rsid w:val="000B073D"/>
    <w:rsid w:val="000B2A05"/>
    <w:rsid w:val="000C3C53"/>
    <w:rsid w:val="000D25BF"/>
    <w:rsid w:val="000E37AE"/>
    <w:rsid w:val="000E3D6D"/>
    <w:rsid w:val="000F3F7E"/>
    <w:rsid w:val="000F42E7"/>
    <w:rsid w:val="00105BF4"/>
    <w:rsid w:val="00107644"/>
    <w:rsid w:val="00113A96"/>
    <w:rsid w:val="00120CB5"/>
    <w:rsid w:val="00134610"/>
    <w:rsid w:val="00136FAB"/>
    <w:rsid w:val="00160105"/>
    <w:rsid w:val="00161120"/>
    <w:rsid w:val="00167DFD"/>
    <w:rsid w:val="0017095F"/>
    <w:rsid w:val="00194007"/>
    <w:rsid w:val="001A1BC6"/>
    <w:rsid w:val="001B4E00"/>
    <w:rsid w:val="001B717F"/>
    <w:rsid w:val="001C5942"/>
    <w:rsid w:val="001C7BE3"/>
    <w:rsid w:val="001E0E15"/>
    <w:rsid w:val="001E6CCD"/>
    <w:rsid w:val="001F35E1"/>
    <w:rsid w:val="001F77E8"/>
    <w:rsid w:val="00226809"/>
    <w:rsid w:val="002303AB"/>
    <w:rsid w:val="00235ED3"/>
    <w:rsid w:val="00241173"/>
    <w:rsid w:val="0025677B"/>
    <w:rsid w:val="002609F1"/>
    <w:rsid w:val="00262893"/>
    <w:rsid w:val="00273C70"/>
    <w:rsid w:val="00274520"/>
    <w:rsid w:val="00281904"/>
    <w:rsid w:val="002909E0"/>
    <w:rsid w:val="002B3342"/>
    <w:rsid w:val="002D1A9E"/>
    <w:rsid w:val="002E1009"/>
    <w:rsid w:val="002E5DD6"/>
    <w:rsid w:val="0030378C"/>
    <w:rsid w:val="0032438F"/>
    <w:rsid w:val="00332578"/>
    <w:rsid w:val="00332C56"/>
    <w:rsid w:val="003337A1"/>
    <w:rsid w:val="003412D1"/>
    <w:rsid w:val="00347D6C"/>
    <w:rsid w:val="00354487"/>
    <w:rsid w:val="003558F1"/>
    <w:rsid w:val="00360832"/>
    <w:rsid w:val="00362B4A"/>
    <w:rsid w:val="00366519"/>
    <w:rsid w:val="00381783"/>
    <w:rsid w:val="003C2D88"/>
    <w:rsid w:val="003C7742"/>
    <w:rsid w:val="003E51B4"/>
    <w:rsid w:val="003E7B36"/>
    <w:rsid w:val="003F1435"/>
    <w:rsid w:val="003F3F4B"/>
    <w:rsid w:val="004034C9"/>
    <w:rsid w:val="00404BB2"/>
    <w:rsid w:val="004068E6"/>
    <w:rsid w:val="0040783B"/>
    <w:rsid w:val="00431D45"/>
    <w:rsid w:val="0044026C"/>
    <w:rsid w:val="0044125F"/>
    <w:rsid w:val="004425D5"/>
    <w:rsid w:val="00444B1D"/>
    <w:rsid w:val="00464714"/>
    <w:rsid w:val="00482110"/>
    <w:rsid w:val="004858AF"/>
    <w:rsid w:val="004A40E1"/>
    <w:rsid w:val="004A4C20"/>
    <w:rsid w:val="004B20CA"/>
    <w:rsid w:val="004C26FE"/>
    <w:rsid w:val="004E4D69"/>
    <w:rsid w:val="004F72DA"/>
    <w:rsid w:val="004F7FDD"/>
    <w:rsid w:val="00501AE9"/>
    <w:rsid w:val="005030FD"/>
    <w:rsid w:val="00516800"/>
    <w:rsid w:val="0053067F"/>
    <w:rsid w:val="00531592"/>
    <w:rsid w:val="0053400F"/>
    <w:rsid w:val="00540530"/>
    <w:rsid w:val="00542F95"/>
    <w:rsid w:val="00551AC9"/>
    <w:rsid w:val="00556B0D"/>
    <w:rsid w:val="00564838"/>
    <w:rsid w:val="00566855"/>
    <w:rsid w:val="00575F18"/>
    <w:rsid w:val="0058254A"/>
    <w:rsid w:val="0058394C"/>
    <w:rsid w:val="005951E8"/>
    <w:rsid w:val="005A2FC7"/>
    <w:rsid w:val="005A648D"/>
    <w:rsid w:val="005B3AE5"/>
    <w:rsid w:val="005E34F0"/>
    <w:rsid w:val="005E5850"/>
    <w:rsid w:val="005F43F4"/>
    <w:rsid w:val="00600267"/>
    <w:rsid w:val="00603C36"/>
    <w:rsid w:val="00614F21"/>
    <w:rsid w:val="006413AC"/>
    <w:rsid w:val="006440F1"/>
    <w:rsid w:val="00655390"/>
    <w:rsid w:val="006571F8"/>
    <w:rsid w:val="00663378"/>
    <w:rsid w:val="006C5911"/>
    <w:rsid w:val="006D2B03"/>
    <w:rsid w:val="006E3920"/>
    <w:rsid w:val="00714B04"/>
    <w:rsid w:val="007166A0"/>
    <w:rsid w:val="00745390"/>
    <w:rsid w:val="007478E0"/>
    <w:rsid w:val="00750FB4"/>
    <w:rsid w:val="00751D86"/>
    <w:rsid w:val="00766EF1"/>
    <w:rsid w:val="00771CA2"/>
    <w:rsid w:val="00775F81"/>
    <w:rsid w:val="00780760"/>
    <w:rsid w:val="00780E4E"/>
    <w:rsid w:val="007B1A17"/>
    <w:rsid w:val="007C3C34"/>
    <w:rsid w:val="007C6E89"/>
    <w:rsid w:val="007F6E3A"/>
    <w:rsid w:val="00800149"/>
    <w:rsid w:val="00807CCA"/>
    <w:rsid w:val="00811AB9"/>
    <w:rsid w:val="008158A2"/>
    <w:rsid w:val="00831DBF"/>
    <w:rsid w:val="008360EA"/>
    <w:rsid w:val="00841104"/>
    <w:rsid w:val="0085730F"/>
    <w:rsid w:val="00863FBD"/>
    <w:rsid w:val="00866B21"/>
    <w:rsid w:val="0087177F"/>
    <w:rsid w:val="00871795"/>
    <w:rsid w:val="008828DB"/>
    <w:rsid w:val="008B1BF9"/>
    <w:rsid w:val="008C11E0"/>
    <w:rsid w:val="008D2976"/>
    <w:rsid w:val="008E1485"/>
    <w:rsid w:val="00923AA8"/>
    <w:rsid w:val="0092610C"/>
    <w:rsid w:val="009317B2"/>
    <w:rsid w:val="00965B41"/>
    <w:rsid w:val="00975705"/>
    <w:rsid w:val="00997D5D"/>
    <w:rsid w:val="009B7759"/>
    <w:rsid w:val="009E796E"/>
    <w:rsid w:val="009F178B"/>
    <w:rsid w:val="00A00A8B"/>
    <w:rsid w:val="00A14F28"/>
    <w:rsid w:val="00A3658B"/>
    <w:rsid w:val="00A37649"/>
    <w:rsid w:val="00A4022A"/>
    <w:rsid w:val="00A46AE1"/>
    <w:rsid w:val="00A550F8"/>
    <w:rsid w:val="00A56EFA"/>
    <w:rsid w:val="00A60D50"/>
    <w:rsid w:val="00A75F7C"/>
    <w:rsid w:val="00A908F4"/>
    <w:rsid w:val="00A93AF8"/>
    <w:rsid w:val="00AA19C7"/>
    <w:rsid w:val="00AB557E"/>
    <w:rsid w:val="00AB6912"/>
    <w:rsid w:val="00AB693B"/>
    <w:rsid w:val="00AC7DA1"/>
    <w:rsid w:val="00AE4298"/>
    <w:rsid w:val="00B06CCC"/>
    <w:rsid w:val="00B10DC7"/>
    <w:rsid w:val="00B24510"/>
    <w:rsid w:val="00B266BF"/>
    <w:rsid w:val="00B33252"/>
    <w:rsid w:val="00B41058"/>
    <w:rsid w:val="00B54B17"/>
    <w:rsid w:val="00B67D05"/>
    <w:rsid w:val="00B717B4"/>
    <w:rsid w:val="00B77156"/>
    <w:rsid w:val="00B82356"/>
    <w:rsid w:val="00B84735"/>
    <w:rsid w:val="00B86C01"/>
    <w:rsid w:val="00BA3CB9"/>
    <w:rsid w:val="00BA525C"/>
    <w:rsid w:val="00BB5E2D"/>
    <w:rsid w:val="00BC243C"/>
    <w:rsid w:val="00BE1E43"/>
    <w:rsid w:val="00C1481D"/>
    <w:rsid w:val="00C156A2"/>
    <w:rsid w:val="00C21F05"/>
    <w:rsid w:val="00C2225A"/>
    <w:rsid w:val="00C41B91"/>
    <w:rsid w:val="00C62400"/>
    <w:rsid w:val="00C7098C"/>
    <w:rsid w:val="00C9284F"/>
    <w:rsid w:val="00C95452"/>
    <w:rsid w:val="00CC667E"/>
    <w:rsid w:val="00CE1313"/>
    <w:rsid w:val="00CE529C"/>
    <w:rsid w:val="00CE751A"/>
    <w:rsid w:val="00CF5959"/>
    <w:rsid w:val="00D010B4"/>
    <w:rsid w:val="00D178FB"/>
    <w:rsid w:val="00D22FFE"/>
    <w:rsid w:val="00D231AD"/>
    <w:rsid w:val="00D23D8E"/>
    <w:rsid w:val="00D25986"/>
    <w:rsid w:val="00D32835"/>
    <w:rsid w:val="00D35580"/>
    <w:rsid w:val="00D363F3"/>
    <w:rsid w:val="00D45C36"/>
    <w:rsid w:val="00D5738F"/>
    <w:rsid w:val="00D71BEE"/>
    <w:rsid w:val="00D7200E"/>
    <w:rsid w:val="00D8011A"/>
    <w:rsid w:val="00D803C3"/>
    <w:rsid w:val="00D97D93"/>
    <w:rsid w:val="00DA6385"/>
    <w:rsid w:val="00DC2ED4"/>
    <w:rsid w:val="00DC391E"/>
    <w:rsid w:val="00DC4968"/>
    <w:rsid w:val="00DD3FF8"/>
    <w:rsid w:val="00DE239B"/>
    <w:rsid w:val="00DE2519"/>
    <w:rsid w:val="00DF007F"/>
    <w:rsid w:val="00DF2637"/>
    <w:rsid w:val="00E1345A"/>
    <w:rsid w:val="00E20613"/>
    <w:rsid w:val="00E34DD1"/>
    <w:rsid w:val="00E35CE4"/>
    <w:rsid w:val="00E41E27"/>
    <w:rsid w:val="00E45E1F"/>
    <w:rsid w:val="00E64F3E"/>
    <w:rsid w:val="00E7696C"/>
    <w:rsid w:val="00E80905"/>
    <w:rsid w:val="00E818CC"/>
    <w:rsid w:val="00E913F2"/>
    <w:rsid w:val="00EA5937"/>
    <w:rsid w:val="00EB4CF9"/>
    <w:rsid w:val="00EE0EE0"/>
    <w:rsid w:val="00EE368A"/>
    <w:rsid w:val="00EE47F4"/>
    <w:rsid w:val="00F108A1"/>
    <w:rsid w:val="00F14B9D"/>
    <w:rsid w:val="00F16F72"/>
    <w:rsid w:val="00F25199"/>
    <w:rsid w:val="00F3691F"/>
    <w:rsid w:val="00F41B35"/>
    <w:rsid w:val="00F516F7"/>
    <w:rsid w:val="00F517A1"/>
    <w:rsid w:val="00F56F55"/>
    <w:rsid w:val="00F65F4E"/>
    <w:rsid w:val="00F70CC1"/>
    <w:rsid w:val="00F710D2"/>
    <w:rsid w:val="00F80278"/>
    <w:rsid w:val="00F93DBF"/>
    <w:rsid w:val="00F95CEE"/>
    <w:rsid w:val="00FA2E00"/>
    <w:rsid w:val="00FB691D"/>
    <w:rsid w:val="00FC6717"/>
    <w:rsid w:val="00FE1CF1"/>
    <w:rsid w:val="047477A8"/>
    <w:rsid w:val="09BC683E"/>
    <w:rsid w:val="0DBD0378"/>
    <w:rsid w:val="0E1B7ED7"/>
    <w:rsid w:val="1565458A"/>
    <w:rsid w:val="18D2250D"/>
    <w:rsid w:val="25ED713E"/>
    <w:rsid w:val="2763A261"/>
    <w:rsid w:val="35C85012"/>
    <w:rsid w:val="36040629"/>
    <w:rsid w:val="38FA2DAB"/>
    <w:rsid w:val="3AA36ADA"/>
    <w:rsid w:val="3E7F7C2B"/>
    <w:rsid w:val="3FDBBDFB"/>
    <w:rsid w:val="407A3A4E"/>
    <w:rsid w:val="40BC70F1"/>
    <w:rsid w:val="52586046"/>
    <w:rsid w:val="52D9688D"/>
    <w:rsid w:val="5325287B"/>
    <w:rsid w:val="5D2035F6"/>
    <w:rsid w:val="617A3232"/>
    <w:rsid w:val="638D5DFC"/>
    <w:rsid w:val="658C6239"/>
    <w:rsid w:val="69FF7F58"/>
    <w:rsid w:val="70F00E1C"/>
    <w:rsid w:val="76EF6F16"/>
    <w:rsid w:val="7B083A09"/>
    <w:rsid w:val="7E42117A"/>
    <w:rsid w:val="EFE0C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14"/>
    <w:qFormat/>
    <w:uiPriority w:val="9"/>
    <w:pPr>
      <w:keepNext/>
      <w:keepLines/>
      <w:jc w:val="left"/>
      <w:outlineLvl w:val="0"/>
    </w:pPr>
    <w:rPr>
      <w:rFonts w:ascii="黑体" w:hAnsi="黑体" w:eastAsia="黑体"/>
      <w:bCs/>
      <w:kern w:val="44"/>
      <w:szCs w:val="44"/>
    </w:rPr>
  </w:style>
  <w:style w:type="paragraph" w:styleId="4">
    <w:name w:val="heading 2"/>
    <w:basedOn w:val="1"/>
    <w:next w:val="1"/>
    <w:link w:val="15"/>
    <w:unhideWhenUsed/>
    <w:qFormat/>
    <w:uiPriority w:val="9"/>
    <w:pPr>
      <w:keepNext/>
      <w:keepLines/>
      <w:outlineLvl w:val="1"/>
    </w:pPr>
    <w:rPr>
      <w:rFonts w:ascii="楷体_GB2312" w:hAnsi="楷体_GB2312" w:eastAsia="楷体_GB2312" w:cstheme="majorBidi"/>
      <w:bCs/>
      <w:szCs w:val="32"/>
    </w:rPr>
  </w:style>
  <w:style w:type="character" w:default="1" w:styleId="10">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Calibri" w:hAnsi="Calibri"/>
      <w:sz w:val="28"/>
      <w:szCs w:val="24"/>
    </w:rPr>
  </w:style>
  <w:style w:type="paragraph" w:styleId="5">
    <w:name w:val="annotation subject"/>
    <w:basedOn w:val="6"/>
    <w:next w:val="6"/>
    <w:link w:val="22"/>
    <w:semiHidden/>
    <w:unhideWhenUsed/>
    <w:qFormat/>
    <w:uiPriority w:val="99"/>
    <w:rPr>
      <w:b/>
      <w:bCs/>
    </w:rPr>
  </w:style>
  <w:style w:type="paragraph" w:styleId="6">
    <w:name w:val="annotation text"/>
    <w:basedOn w:val="1"/>
    <w:link w:val="21"/>
    <w:semiHidden/>
    <w:unhideWhenUsed/>
    <w:qFormat/>
    <w:uiPriority w:val="99"/>
    <w:pPr>
      <w:jc w:val="left"/>
    </w:pPr>
  </w:style>
  <w:style w:type="paragraph" w:styleId="7">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1"/>
    <w:next w:val="1"/>
    <w:link w:val="16"/>
    <w:qFormat/>
    <w:uiPriority w:val="10"/>
    <w:pPr>
      <w:ind w:firstLine="0" w:firstLineChars="0"/>
      <w:jc w:val="center"/>
      <w:outlineLvl w:val="0"/>
    </w:pPr>
    <w:rPr>
      <w:rFonts w:ascii="方正小标宋简体" w:hAnsi="方正小标宋简体" w:eastAsia="方正小标宋简体" w:cstheme="majorBidi"/>
      <w:bCs/>
      <w:sz w:val="44"/>
      <w:szCs w:val="32"/>
    </w:rPr>
  </w:style>
  <w:style w:type="character" w:styleId="11">
    <w:name w:val="annotation reference"/>
    <w:basedOn w:val="10"/>
    <w:semiHidden/>
    <w:unhideWhenUsed/>
    <w:qFormat/>
    <w:uiPriority w:val="99"/>
    <w:rPr>
      <w:sz w:val="21"/>
      <w:szCs w:val="21"/>
    </w:rPr>
  </w:style>
  <w:style w:type="paragraph" w:styleId="13">
    <w:name w:val="No Spacing"/>
    <w:qFormat/>
    <w:uiPriority w:val="1"/>
    <w:pPr>
      <w:widowControl w:val="0"/>
      <w:ind w:firstLine="200" w:firstLineChars="200"/>
      <w:jc w:val="both"/>
    </w:pPr>
    <w:rPr>
      <w:rFonts w:ascii="仿宋_GB2312" w:hAnsi="仿宋_GB2312" w:eastAsia="仿宋_GB2312" w:cstheme="minorBidi"/>
      <w:kern w:val="2"/>
      <w:sz w:val="32"/>
      <w:szCs w:val="22"/>
      <w:lang w:val="en-US" w:eastAsia="zh-CN" w:bidi="ar-SA"/>
    </w:rPr>
  </w:style>
  <w:style w:type="character" w:customStyle="1" w:styleId="14">
    <w:name w:val="标题 1 字符"/>
    <w:basedOn w:val="10"/>
    <w:link w:val="3"/>
    <w:qFormat/>
    <w:uiPriority w:val="9"/>
    <w:rPr>
      <w:rFonts w:ascii="黑体" w:hAnsi="黑体" w:eastAsia="黑体"/>
      <w:bCs/>
      <w:kern w:val="44"/>
      <w:sz w:val="32"/>
      <w:szCs w:val="44"/>
    </w:rPr>
  </w:style>
  <w:style w:type="character" w:customStyle="1" w:styleId="15">
    <w:name w:val="标题 2 字符"/>
    <w:basedOn w:val="10"/>
    <w:link w:val="4"/>
    <w:qFormat/>
    <w:uiPriority w:val="9"/>
    <w:rPr>
      <w:rFonts w:ascii="楷体_GB2312" w:hAnsi="楷体_GB2312" w:eastAsia="楷体_GB2312" w:cstheme="majorBidi"/>
      <w:bCs/>
      <w:sz w:val="32"/>
      <w:szCs w:val="32"/>
    </w:rPr>
  </w:style>
  <w:style w:type="character" w:customStyle="1" w:styleId="16">
    <w:name w:val="标题 字符"/>
    <w:basedOn w:val="10"/>
    <w:link w:val="9"/>
    <w:qFormat/>
    <w:uiPriority w:val="10"/>
    <w:rPr>
      <w:rFonts w:ascii="方正小标宋简体" w:hAnsi="方正小标宋简体" w:eastAsia="方正小标宋简体" w:cstheme="majorBidi"/>
      <w:bCs/>
      <w:sz w:val="44"/>
      <w:szCs w:val="32"/>
    </w:rPr>
  </w:style>
  <w:style w:type="character" w:customStyle="1" w:styleId="17">
    <w:name w:val="页眉 字符"/>
    <w:basedOn w:val="10"/>
    <w:link w:val="8"/>
    <w:qFormat/>
    <w:uiPriority w:val="99"/>
    <w:rPr>
      <w:rFonts w:ascii="仿宋_GB2312" w:hAnsi="仿宋_GB2312" w:eastAsia="仿宋_GB2312"/>
      <w:sz w:val="18"/>
      <w:szCs w:val="18"/>
    </w:rPr>
  </w:style>
  <w:style w:type="character" w:customStyle="1" w:styleId="18">
    <w:name w:val="页脚 字符"/>
    <w:basedOn w:val="10"/>
    <w:link w:val="7"/>
    <w:qFormat/>
    <w:uiPriority w:val="99"/>
    <w:rPr>
      <w:rFonts w:ascii="仿宋_GB2312" w:hAnsi="仿宋_GB2312" w:eastAsia="仿宋_GB2312"/>
      <w:sz w:val="18"/>
      <w:szCs w:val="18"/>
    </w:rPr>
  </w:style>
  <w:style w:type="paragraph" w:styleId="19">
    <w:name w:val="List Paragraph"/>
    <w:basedOn w:val="1"/>
    <w:qFormat/>
    <w:uiPriority w:val="34"/>
    <w:pPr>
      <w:ind w:firstLine="420"/>
    </w:pPr>
  </w:style>
  <w:style w:type="paragraph" w:customStyle="1" w:styleId="20">
    <w:name w:val="修订1"/>
    <w:hidden/>
    <w:semiHidden/>
    <w:qFormat/>
    <w:uiPriority w:val="99"/>
    <w:rPr>
      <w:rFonts w:ascii="仿宋_GB2312" w:hAnsi="仿宋_GB2312" w:eastAsia="仿宋_GB2312" w:cstheme="minorBidi"/>
      <w:kern w:val="2"/>
      <w:sz w:val="32"/>
      <w:szCs w:val="22"/>
      <w:lang w:val="en-US" w:eastAsia="zh-CN" w:bidi="ar-SA"/>
    </w:rPr>
  </w:style>
  <w:style w:type="character" w:customStyle="1" w:styleId="21">
    <w:name w:val="批注文字 字符"/>
    <w:basedOn w:val="10"/>
    <w:link w:val="6"/>
    <w:semiHidden/>
    <w:qFormat/>
    <w:uiPriority w:val="99"/>
    <w:rPr>
      <w:rFonts w:ascii="仿宋_GB2312" w:hAnsi="仿宋_GB2312" w:eastAsia="仿宋_GB2312"/>
      <w:sz w:val="32"/>
    </w:rPr>
  </w:style>
  <w:style w:type="character" w:customStyle="1" w:styleId="22">
    <w:name w:val="批注主题 字符"/>
    <w:basedOn w:val="21"/>
    <w:link w:val="5"/>
    <w:semiHidden/>
    <w:qFormat/>
    <w:uiPriority w:val="99"/>
    <w:rPr>
      <w:rFonts w:ascii="仿宋_GB2312" w:hAnsi="仿宋_GB2312" w:eastAsia="仿宋_GB2312"/>
      <w:b/>
      <w:bCs/>
      <w:sz w:val="32"/>
    </w:rPr>
  </w:style>
  <w:style w:type="paragraph" w:customStyle="1" w:styleId="23">
    <w:name w:val="修订2"/>
    <w:hidden/>
    <w:semiHidden/>
    <w:qFormat/>
    <w:uiPriority w:val="99"/>
    <w:rPr>
      <w:rFonts w:ascii="仿宋_GB2312" w:hAnsi="仿宋_GB2312" w:eastAsia="仿宋_GB2312" w:cstheme="minorBidi"/>
      <w:kern w:val="2"/>
      <w:sz w:val="32"/>
      <w:szCs w:val="22"/>
      <w:lang w:val="en-US" w:eastAsia="zh-CN" w:bidi="ar-SA"/>
    </w:rPr>
  </w:style>
  <w:style w:type="paragraph" w:customStyle="1" w:styleId="24">
    <w:name w:val="修订3"/>
    <w:hidden/>
    <w:semiHidden/>
    <w:qFormat/>
    <w:uiPriority w:val="99"/>
    <w:rPr>
      <w:rFonts w:ascii="仿宋_GB2312" w:hAnsi="仿宋_GB2312" w:eastAsia="仿宋_GB2312" w:cstheme="minorBidi"/>
      <w:kern w:val="2"/>
      <w:sz w:val="32"/>
      <w:szCs w:val="22"/>
      <w:lang w:val="en-US" w:eastAsia="zh-CN" w:bidi="ar-SA"/>
    </w:rPr>
  </w:style>
  <w:style w:type="paragraph" w:customStyle="1" w:styleId="25">
    <w:name w:val="修订4"/>
    <w:hidden/>
    <w:semiHidden/>
    <w:qFormat/>
    <w:uiPriority w:val="99"/>
    <w:rPr>
      <w:rFonts w:ascii="仿宋_GB2312" w:hAnsi="仿宋_GB2312" w:eastAsia="仿宋_GB2312" w:cstheme="minorBidi"/>
      <w:kern w:val="2"/>
      <w:sz w:val="32"/>
      <w:szCs w:val="22"/>
      <w:lang w:val="en-US" w:eastAsia="zh-CN" w:bidi="ar-SA"/>
    </w:rPr>
  </w:style>
  <w:style w:type="paragraph" w:customStyle="1" w:styleId="26">
    <w:name w:val="修订5"/>
    <w:hidden/>
    <w:semiHidden/>
    <w:qFormat/>
    <w:uiPriority w:val="99"/>
    <w:rPr>
      <w:rFonts w:ascii="仿宋_GB2312" w:hAnsi="仿宋_GB2312" w:eastAsia="仿宋_GB2312" w:cstheme="minorBidi"/>
      <w:kern w:val="2"/>
      <w:sz w:val="32"/>
      <w:szCs w:val="22"/>
      <w:lang w:val="en-US" w:eastAsia="zh-CN" w:bidi="ar-SA"/>
    </w:rPr>
  </w:style>
  <w:style w:type="paragraph" w:customStyle="1" w:styleId="27">
    <w:name w:val="Revision"/>
    <w:hidden/>
    <w:semiHidden/>
    <w:uiPriority w:val="99"/>
    <w:rPr>
      <w:rFonts w:ascii="仿宋_GB2312" w:hAnsi="仿宋_GB2312"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2176</Words>
  <Characters>2221</Characters>
  <Lines>96</Lines>
  <Paragraphs>41</Paragraphs>
  <TotalTime>21</TotalTime>
  <ScaleCrop>false</ScaleCrop>
  <LinksUpToDate>false</LinksUpToDate>
  <CharactersWithSpaces>4356</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2021-11-20T05:59:00Z</dcterms:created>
  <dc:creator>Haotian Sun</dc:creator>
  <cp:lastModifiedBy>李京龙</cp:lastModifiedBy>
  <dcterms:modified xsi:type="dcterms:W3CDTF">2022-08-02T15:48:10Z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ICV">
    <vt:lpwstr>BA4B286A6CC64D53935B1AF0EA957A38</vt:lpwstr>
  </property>
</Properties>
</file>