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w:t>
            </w:r>
            <w:r>
              <w:rPr>
                <w:rFonts w:ascii="黑体" w:hAnsi="黑体" w:eastAsia="黑体"/>
                <w:sz w:val="21"/>
                <w:szCs w:val="21"/>
              </w:rPr>
              <w:t>3.020.01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Z04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绿色数据中心建设评价规范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Evaluation Specification for Green Data Center</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021</w:t>
      </w:r>
      <w:r>
        <w:rPr>
          <w:rFonts w:hint="eastAsia"/>
          <w:sz w:val="21"/>
          <w:szCs w:val="28"/>
        </w:rPr>
        <w:t>年1</w:t>
      </w:r>
      <w:r>
        <w:rPr>
          <w:sz w:val="21"/>
          <w:szCs w:val="28"/>
        </w:rPr>
        <w:t>1</w:t>
      </w:r>
      <w:r>
        <w:rPr>
          <w:rFonts w:hint="eastAsia"/>
          <w:sz w:val="21"/>
          <w:szCs w:val="28"/>
        </w:rPr>
        <w:t>月1</w:t>
      </w:r>
      <w:r>
        <w:rPr>
          <w:sz w:val="21"/>
          <w:szCs w:val="28"/>
        </w:rPr>
        <w:t>5</w:t>
      </w:r>
      <w:r>
        <w:rPr>
          <w:rFonts w:hint="eastAsia"/>
          <w:sz w:val="21"/>
          <w:szCs w:val="28"/>
        </w:rPr>
        <w:t>日）</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北京市经济和信息化局 北京市市场监督管理局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rPr>
          <w:rFonts w:hAnsi="Times New Roman"/>
        </w:rPr>
        <w:fldChar w:fldCharType="begin"/>
      </w:r>
      <w:r>
        <w:rPr>
          <w:rFonts w:hAnsi="Times New Roman"/>
        </w:rPr>
        <w:instrText xml:space="preserve"> TOC \o "1-3" \u </w:instrText>
      </w:r>
      <w:r>
        <w:rPr>
          <w:rFonts w:hAnsi="Times New Roman"/>
        </w:rPr>
        <w:fldChar w:fldCharType="separate"/>
      </w:r>
      <w:r>
        <w:rPr>
          <w:spacing w:val="320"/>
        </w:rPr>
        <w:t>前</w:t>
      </w:r>
      <w:r>
        <w:t>言</w:t>
      </w:r>
      <w:r>
        <w:tab/>
      </w:r>
      <w:r>
        <w:fldChar w:fldCharType="begin"/>
      </w:r>
      <w:r>
        <w:instrText xml:space="preserve"> PAGEREF _Toc104477826 \h </w:instrText>
      </w:r>
      <w:r>
        <w:fldChar w:fldCharType="separate"/>
      </w:r>
      <w:r>
        <w:t>II</w:t>
      </w:r>
      <w:r>
        <w:fldChar w:fldCharType="end"/>
      </w:r>
    </w:p>
    <w:p>
      <w:pPr>
        <w:pStyle w:val="24"/>
        <w:spacing w:before="78" w:beforeLines="25" w:after="78" w:afterLines="25"/>
        <w:ind w:left="0"/>
        <w:rPr>
          <w:rFonts w:hAnsi="宋体" w:cstheme="minorBidi"/>
          <w:szCs w:val="22"/>
        </w:rPr>
      </w:pPr>
      <w:r>
        <w:rPr>
          <w:rFonts w:hAnsi="宋体"/>
        </w:rPr>
        <w:t>1范围</w:t>
      </w:r>
      <w:r>
        <w:rPr>
          <w:rFonts w:hAnsi="宋体"/>
        </w:rPr>
        <w:tab/>
      </w:r>
      <w:r>
        <w:rPr>
          <w:rFonts w:hAnsi="宋体"/>
        </w:rPr>
        <w:fldChar w:fldCharType="begin"/>
      </w:r>
      <w:r>
        <w:rPr>
          <w:rFonts w:hAnsi="宋体"/>
        </w:rPr>
        <w:instrText xml:space="preserve"> PAGEREF _Toc104477827 \h </w:instrText>
      </w:r>
      <w:r>
        <w:rPr>
          <w:rFonts w:hAnsi="宋体"/>
        </w:rPr>
        <w:fldChar w:fldCharType="separate"/>
      </w:r>
      <w:r>
        <w:rPr>
          <w:rFonts w:hAnsi="宋体"/>
        </w:rPr>
        <w:t>1</w:t>
      </w:r>
      <w:r>
        <w:rPr>
          <w:rFonts w:hAnsi="宋体"/>
        </w:rPr>
        <w:fldChar w:fldCharType="end"/>
      </w:r>
    </w:p>
    <w:p>
      <w:pPr>
        <w:pStyle w:val="24"/>
        <w:spacing w:before="78" w:beforeLines="25" w:after="78" w:afterLines="25"/>
        <w:ind w:left="0"/>
        <w:rPr>
          <w:rFonts w:hAnsi="宋体" w:cstheme="minorBidi"/>
          <w:szCs w:val="22"/>
        </w:rPr>
      </w:pPr>
      <w:r>
        <w:rPr>
          <w:rFonts w:hAnsi="宋体"/>
        </w:rPr>
        <w:t>2规范性引用文件</w:t>
      </w:r>
      <w:r>
        <w:rPr>
          <w:rFonts w:hAnsi="宋体"/>
        </w:rPr>
        <w:tab/>
      </w:r>
      <w:r>
        <w:rPr>
          <w:rFonts w:hAnsi="宋体"/>
        </w:rPr>
        <w:fldChar w:fldCharType="begin"/>
      </w:r>
      <w:r>
        <w:rPr>
          <w:rFonts w:hAnsi="宋体"/>
        </w:rPr>
        <w:instrText xml:space="preserve"> PAGEREF _Toc104477828 \h </w:instrText>
      </w:r>
      <w:r>
        <w:rPr>
          <w:rFonts w:hAnsi="宋体"/>
        </w:rPr>
        <w:fldChar w:fldCharType="separate"/>
      </w:r>
      <w:r>
        <w:rPr>
          <w:rFonts w:hAnsi="宋体"/>
        </w:rPr>
        <w:t>1</w:t>
      </w:r>
      <w:r>
        <w:rPr>
          <w:rFonts w:hAnsi="宋体"/>
        </w:rPr>
        <w:fldChar w:fldCharType="end"/>
      </w:r>
    </w:p>
    <w:p>
      <w:pPr>
        <w:pStyle w:val="24"/>
        <w:spacing w:before="78" w:beforeLines="25" w:after="78" w:afterLines="25"/>
        <w:ind w:left="0"/>
        <w:rPr>
          <w:rFonts w:hAnsi="宋体" w:cstheme="minorBidi"/>
          <w:szCs w:val="22"/>
        </w:rPr>
      </w:pPr>
      <w:r>
        <w:rPr>
          <w:rFonts w:hAnsi="宋体"/>
        </w:rPr>
        <w:t>3术语和定义</w:t>
      </w:r>
      <w:r>
        <w:rPr>
          <w:rFonts w:hAnsi="宋体"/>
        </w:rPr>
        <w:tab/>
      </w:r>
      <w:r>
        <w:rPr>
          <w:rFonts w:hAnsi="宋体"/>
        </w:rPr>
        <w:fldChar w:fldCharType="begin"/>
      </w:r>
      <w:r>
        <w:rPr>
          <w:rFonts w:hAnsi="宋体"/>
        </w:rPr>
        <w:instrText xml:space="preserve"> PAGEREF _Toc104477829 \h </w:instrText>
      </w:r>
      <w:r>
        <w:rPr>
          <w:rFonts w:hAnsi="宋体"/>
        </w:rPr>
        <w:fldChar w:fldCharType="separate"/>
      </w:r>
      <w:r>
        <w:rPr>
          <w:rFonts w:hAnsi="宋体"/>
        </w:rPr>
        <w:t>1</w:t>
      </w:r>
      <w:r>
        <w:rPr>
          <w:rFonts w:hAnsi="宋体"/>
        </w:rPr>
        <w:fldChar w:fldCharType="end"/>
      </w:r>
    </w:p>
    <w:p>
      <w:pPr>
        <w:pStyle w:val="24"/>
        <w:spacing w:before="78" w:beforeLines="25" w:after="78" w:afterLines="25"/>
        <w:ind w:left="0"/>
        <w:rPr>
          <w:rFonts w:hAnsi="宋体" w:cstheme="minorBidi"/>
          <w:szCs w:val="22"/>
        </w:rPr>
      </w:pPr>
      <w:r>
        <w:rPr>
          <w:rFonts w:hAnsi="宋体"/>
        </w:rPr>
        <w:t>4绿色数据中心评价方法</w:t>
      </w:r>
      <w:r>
        <w:rPr>
          <w:rFonts w:hAnsi="宋体"/>
        </w:rPr>
        <w:tab/>
      </w:r>
      <w:r>
        <w:rPr>
          <w:rFonts w:hAnsi="宋体"/>
        </w:rPr>
        <w:fldChar w:fldCharType="begin"/>
      </w:r>
      <w:r>
        <w:rPr>
          <w:rFonts w:hAnsi="宋体"/>
        </w:rPr>
        <w:instrText xml:space="preserve"> PAGEREF _Toc104477830 \h </w:instrText>
      </w:r>
      <w:r>
        <w:rPr>
          <w:rFonts w:hAnsi="宋体"/>
        </w:rPr>
        <w:fldChar w:fldCharType="separate"/>
      </w:r>
      <w:r>
        <w:rPr>
          <w:rFonts w:hAnsi="宋体"/>
        </w:rPr>
        <w:t>2</w:t>
      </w:r>
      <w:r>
        <w:rPr>
          <w:rFonts w:hAnsi="宋体"/>
        </w:rPr>
        <w:fldChar w:fldCharType="end"/>
      </w:r>
    </w:p>
    <w:p>
      <w:pPr>
        <w:pStyle w:val="15"/>
        <w:tabs>
          <w:tab w:val="right" w:leader="dot" w:pos="9344"/>
        </w:tabs>
        <w:spacing w:before="78" w:beforeLines="25" w:after="78" w:afterLines="25"/>
        <w:ind w:left="210" w:leftChars="100"/>
        <w:rPr>
          <w:rFonts w:hAnsi="宋体" w:cstheme="minorBidi"/>
          <w:szCs w:val="22"/>
        </w:rPr>
      </w:pPr>
      <w:r>
        <w:rPr>
          <w:rFonts w:hAnsi="宋体"/>
        </w:rPr>
        <w:t>4.1概述</w:t>
      </w:r>
      <w:r>
        <w:rPr>
          <w:rFonts w:hAnsi="宋体"/>
        </w:rPr>
        <w:tab/>
      </w:r>
      <w:r>
        <w:rPr>
          <w:rFonts w:hAnsi="宋体"/>
        </w:rPr>
        <w:fldChar w:fldCharType="begin"/>
      </w:r>
      <w:r>
        <w:rPr>
          <w:rFonts w:hAnsi="宋体"/>
        </w:rPr>
        <w:instrText xml:space="preserve"> PAGEREF _Toc104477831 \h </w:instrText>
      </w:r>
      <w:r>
        <w:rPr>
          <w:rFonts w:hAnsi="宋体"/>
        </w:rPr>
        <w:fldChar w:fldCharType="separate"/>
      </w:r>
      <w:r>
        <w:rPr>
          <w:rFonts w:hAnsi="宋体"/>
        </w:rPr>
        <w:t>2</w:t>
      </w:r>
      <w:r>
        <w:rPr>
          <w:rFonts w:hAnsi="宋体"/>
        </w:rPr>
        <w:fldChar w:fldCharType="end"/>
      </w:r>
    </w:p>
    <w:p>
      <w:pPr>
        <w:pStyle w:val="15"/>
        <w:tabs>
          <w:tab w:val="right" w:leader="dot" w:pos="9344"/>
        </w:tabs>
        <w:spacing w:before="78" w:beforeLines="25" w:after="78" w:afterLines="25"/>
        <w:ind w:left="210" w:leftChars="100"/>
        <w:rPr>
          <w:rFonts w:hAnsi="宋体" w:cstheme="minorBidi"/>
          <w:szCs w:val="22"/>
        </w:rPr>
      </w:pPr>
      <w:r>
        <w:rPr>
          <w:rFonts w:hAnsi="宋体"/>
        </w:rPr>
        <w:t>4.2能源利用评价方法</w:t>
      </w:r>
      <w:r>
        <w:rPr>
          <w:rFonts w:hAnsi="宋体"/>
        </w:rPr>
        <w:tab/>
      </w:r>
      <w:r>
        <w:rPr>
          <w:rFonts w:hAnsi="宋体"/>
        </w:rPr>
        <w:fldChar w:fldCharType="begin"/>
      </w:r>
      <w:r>
        <w:rPr>
          <w:rFonts w:hAnsi="宋体"/>
        </w:rPr>
        <w:instrText xml:space="preserve"> PAGEREF _Toc104477832 \h </w:instrText>
      </w:r>
      <w:r>
        <w:rPr>
          <w:rFonts w:hAnsi="宋体"/>
        </w:rPr>
        <w:fldChar w:fldCharType="separate"/>
      </w:r>
      <w:r>
        <w:rPr>
          <w:rFonts w:hAnsi="宋体"/>
        </w:rPr>
        <w:t>2</w:t>
      </w:r>
      <w:r>
        <w:rPr>
          <w:rFonts w:hAnsi="宋体"/>
        </w:rPr>
        <w:fldChar w:fldCharType="end"/>
      </w:r>
    </w:p>
    <w:p>
      <w:pPr>
        <w:pStyle w:val="15"/>
        <w:tabs>
          <w:tab w:val="right" w:leader="dot" w:pos="9344"/>
        </w:tabs>
        <w:spacing w:before="78" w:beforeLines="25" w:after="78" w:afterLines="25"/>
        <w:ind w:left="210" w:leftChars="100"/>
        <w:rPr>
          <w:rFonts w:hAnsi="宋体" w:cstheme="minorBidi"/>
          <w:szCs w:val="22"/>
        </w:rPr>
      </w:pPr>
      <w:r>
        <w:rPr>
          <w:rFonts w:hAnsi="宋体"/>
        </w:rPr>
        <w:t>4.3资源使用评价方法</w:t>
      </w:r>
      <w:r>
        <w:rPr>
          <w:rFonts w:hAnsi="宋体"/>
        </w:rPr>
        <w:tab/>
      </w:r>
      <w:r>
        <w:rPr>
          <w:rFonts w:hAnsi="宋体"/>
        </w:rPr>
        <w:fldChar w:fldCharType="begin"/>
      </w:r>
      <w:r>
        <w:rPr>
          <w:rFonts w:hAnsi="宋体"/>
        </w:rPr>
        <w:instrText xml:space="preserve"> PAGEREF _Toc104477833 \h </w:instrText>
      </w:r>
      <w:r>
        <w:rPr>
          <w:rFonts w:hAnsi="宋体"/>
        </w:rPr>
        <w:fldChar w:fldCharType="separate"/>
      </w:r>
      <w:r>
        <w:rPr>
          <w:rFonts w:hAnsi="宋体"/>
        </w:rPr>
        <w:t>4</w:t>
      </w:r>
      <w:r>
        <w:rPr>
          <w:rFonts w:hAnsi="宋体"/>
        </w:rPr>
        <w:fldChar w:fldCharType="end"/>
      </w:r>
    </w:p>
    <w:p>
      <w:pPr>
        <w:pStyle w:val="15"/>
        <w:tabs>
          <w:tab w:val="right" w:leader="dot" w:pos="9344"/>
        </w:tabs>
        <w:spacing w:before="78" w:beforeLines="25" w:after="78" w:afterLines="25"/>
        <w:ind w:left="210" w:leftChars="100"/>
        <w:rPr>
          <w:rFonts w:hAnsi="宋体" w:cstheme="minorBidi"/>
          <w:szCs w:val="22"/>
        </w:rPr>
      </w:pPr>
      <w:r>
        <w:rPr>
          <w:rFonts w:hAnsi="宋体"/>
        </w:rPr>
        <w:t>4.4环境影响管理评价方法</w:t>
      </w:r>
      <w:r>
        <w:rPr>
          <w:rFonts w:hAnsi="宋体"/>
        </w:rPr>
        <w:tab/>
      </w:r>
      <w:r>
        <w:rPr>
          <w:rFonts w:hAnsi="宋体"/>
        </w:rPr>
        <w:fldChar w:fldCharType="begin"/>
      </w:r>
      <w:r>
        <w:rPr>
          <w:rFonts w:hAnsi="宋体"/>
        </w:rPr>
        <w:instrText xml:space="preserve"> PAGEREF _Toc104477834 \h </w:instrText>
      </w:r>
      <w:r>
        <w:rPr>
          <w:rFonts w:hAnsi="宋体"/>
        </w:rPr>
        <w:fldChar w:fldCharType="separate"/>
      </w:r>
      <w:r>
        <w:rPr>
          <w:rFonts w:hAnsi="宋体"/>
        </w:rPr>
        <w:t>4</w:t>
      </w:r>
      <w:r>
        <w:rPr>
          <w:rFonts w:hAnsi="宋体"/>
        </w:rPr>
        <w:fldChar w:fldCharType="end"/>
      </w:r>
    </w:p>
    <w:p>
      <w:pPr>
        <w:pStyle w:val="15"/>
        <w:tabs>
          <w:tab w:val="right" w:leader="dot" w:pos="9344"/>
        </w:tabs>
        <w:spacing w:before="78" w:beforeLines="25" w:after="78" w:afterLines="25"/>
        <w:ind w:left="210" w:leftChars="100"/>
        <w:rPr>
          <w:rFonts w:hAnsi="宋体" w:cstheme="minorBidi"/>
          <w:szCs w:val="22"/>
        </w:rPr>
      </w:pPr>
      <w:r>
        <w:rPr>
          <w:rFonts w:hAnsi="宋体"/>
        </w:rPr>
        <w:t>4.5相关方管理评价方法</w:t>
      </w:r>
      <w:r>
        <w:rPr>
          <w:rFonts w:hAnsi="宋体"/>
        </w:rPr>
        <w:tab/>
      </w:r>
      <w:r>
        <w:rPr>
          <w:rFonts w:hAnsi="宋体"/>
        </w:rPr>
        <w:fldChar w:fldCharType="begin"/>
      </w:r>
      <w:r>
        <w:rPr>
          <w:rFonts w:hAnsi="宋体"/>
        </w:rPr>
        <w:instrText xml:space="preserve"> PAGEREF _Toc104477835 \h </w:instrText>
      </w:r>
      <w:r>
        <w:rPr>
          <w:rFonts w:hAnsi="宋体"/>
        </w:rPr>
        <w:fldChar w:fldCharType="separate"/>
      </w:r>
      <w:r>
        <w:rPr>
          <w:rFonts w:hAnsi="宋体"/>
        </w:rPr>
        <w:t>5</w:t>
      </w:r>
      <w:r>
        <w:rPr>
          <w:rFonts w:hAnsi="宋体"/>
        </w:rPr>
        <w:fldChar w:fldCharType="end"/>
      </w:r>
    </w:p>
    <w:p>
      <w:pPr>
        <w:pStyle w:val="19"/>
        <w:tabs>
          <w:tab w:val="right" w:leader="dot" w:pos="9344"/>
        </w:tabs>
        <w:spacing w:before="78" w:beforeLines="25" w:after="78" w:afterLines="25"/>
        <w:rPr>
          <w:rFonts w:hAnsi="宋体" w:cstheme="minorBidi"/>
          <w:szCs w:val="22"/>
        </w:rPr>
      </w:pPr>
      <w:r>
        <w:rPr>
          <w:rFonts w:hAnsi="宋体"/>
          <w:spacing w:val="100"/>
        </w:rPr>
        <w:t>附录A</w:t>
      </w:r>
      <w:r>
        <w:rPr>
          <w:rFonts w:hAnsi="宋体"/>
        </w:rPr>
        <w:t xml:space="preserve"> （资料性） 绿色数据中心评价指标体系</w:t>
      </w:r>
      <w:r>
        <w:rPr>
          <w:rFonts w:hAnsi="宋体"/>
        </w:rPr>
        <w:tab/>
      </w:r>
      <w:r>
        <w:rPr>
          <w:rFonts w:hAnsi="宋体"/>
        </w:rPr>
        <w:fldChar w:fldCharType="begin"/>
      </w:r>
      <w:r>
        <w:rPr>
          <w:rFonts w:hAnsi="宋体"/>
        </w:rPr>
        <w:instrText xml:space="preserve"> PAGEREF _Toc104477836 \h </w:instrText>
      </w:r>
      <w:r>
        <w:rPr>
          <w:rFonts w:hAnsi="宋体"/>
        </w:rPr>
        <w:fldChar w:fldCharType="separate"/>
      </w:r>
      <w:r>
        <w:rPr>
          <w:rFonts w:hAnsi="宋体"/>
        </w:rPr>
        <w:t>6</w:t>
      </w:r>
      <w:r>
        <w:rPr>
          <w:rFonts w:hAnsi="宋体"/>
        </w:rPr>
        <w:fldChar w:fldCharType="end"/>
      </w:r>
    </w:p>
    <w:p>
      <w:pPr>
        <w:pStyle w:val="92"/>
        <w:spacing w:after="468"/>
      </w:pPr>
      <w:r>
        <w:rPr>
          <w:rFonts w:ascii="Times New Roman" w:hAnsi="Times New Roman" w:eastAsia="宋体"/>
          <w:sz w:val="21"/>
          <w:szCs w:val="24"/>
        </w:rPr>
        <w:fldChar w:fldCharType="end"/>
      </w:r>
    </w:p>
    <w:p>
      <w:pPr>
        <w:pStyle w:val="92"/>
        <w:spacing w:after="468"/>
        <w:rPr>
          <w:spacing w:val="320"/>
        </w:rPr>
      </w:pPr>
    </w:p>
    <w:p>
      <w:pPr>
        <w:rPr>
          <w:rFonts w:ascii="黑体" w:eastAsia="黑体"/>
          <w:spacing w:val="320"/>
          <w:sz w:val="32"/>
        </w:rPr>
      </w:pPr>
    </w:p>
    <w:p>
      <w:p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pStyle w:val="90"/>
        <w:spacing w:after="468"/>
      </w:pPr>
      <w:bookmarkStart w:id="22" w:name="_Toc104477826"/>
      <w:bookmarkStart w:id="23" w:name="BookMark2"/>
      <w:r>
        <w:rPr>
          <w:spacing w:val="320"/>
        </w:rPr>
        <w:t>前</w:t>
      </w:r>
      <w: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本文件由北京市经济和信息化局提出。</w:t>
      </w:r>
    </w:p>
    <w:p>
      <w:pPr>
        <w:pStyle w:val="57"/>
        <w:ind w:firstLine="420"/>
      </w:pPr>
      <w:r>
        <w:rPr>
          <w:rFonts w:hint="eastAsia"/>
        </w:rPr>
        <w:t>本文件由北京市经济和信息化局归口。</w:t>
      </w:r>
    </w:p>
    <w:p>
      <w:pPr>
        <w:pStyle w:val="57"/>
        <w:ind w:firstLine="420"/>
      </w:pPr>
      <w:r>
        <w:rPr>
          <w:rFonts w:hint="eastAsia"/>
        </w:rPr>
        <w:t>本文件起草单位：中关村软件和信息绿色创新服务联盟、中国信息通信研究院、北京世纪互联宽带数据中心有限公司、</w:t>
      </w:r>
      <w:r>
        <w:rPr>
          <w:rFonts w:hint="eastAsia" w:ascii="Times New Roman" w:hAnsi="Times New Roman"/>
          <w:lang w:val="en-US" w:eastAsia="zh-CN"/>
        </w:rPr>
        <w:t>国富瑞数据系统有限公司、</w:t>
      </w:r>
      <w:bookmarkStart w:id="422" w:name="_GoBack"/>
      <w:bookmarkEnd w:id="422"/>
      <w:r>
        <w:rPr>
          <w:rFonts w:hint="eastAsia"/>
        </w:rPr>
        <w:t>曙光数据基础设施创新技术（北京）股份有限公司、北京英沣特能源技术有限公司、北京万国长安科技有限公司。</w:t>
      </w:r>
    </w:p>
    <w:p>
      <w:pPr>
        <w:pStyle w:val="57"/>
        <w:ind w:firstLine="420"/>
      </w:pPr>
      <w:r>
        <w:rPr>
          <w:rFonts w:hint="eastAsia"/>
        </w:rPr>
        <w:t>本文件主要起草人：徐斌、李尚、王梦迪、齐曙光、李镇江、李宏鹏、</w:t>
      </w:r>
      <w:r>
        <w:rPr>
          <w:rFonts w:hint="eastAsia"/>
          <w:lang w:val="en-US" w:eastAsia="zh-CN"/>
        </w:rPr>
        <w:t>吕军、</w:t>
      </w:r>
      <w:r>
        <w:rPr>
          <w:rFonts w:hint="eastAsia"/>
        </w:rPr>
        <w:t>范娟、井光磊、邹元霖、张勇</w:t>
      </w:r>
      <w:r>
        <w:rPr>
          <w:rFonts w:hint="eastAsia"/>
          <w:lang w:eastAsia="zh-CN"/>
        </w:rPr>
        <w:t>、</w:t>
      </w:r>
      <w:r>
        <w:rPr>
          <w:rFonts w:hint="eastAsia"/>
          <w:lang w:val="en-US" w:eastAsia="zh-CN"/>
        </w:rPr>
        <w:t>卢永红</w:t>
      </w:r>
      <w:r>
        <w:rPr>
          <w:rFonts w:hint="eastAsia"/>
        </w:rPr>
        <w:t>。</w:t>
      </w: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F646BF0EB2534B60AD53DAE72627BD7C"/>
        </w:placeholder>
      </w:sdtPr>
      <w:sdtContent>
        <w:p>
          <w:pPr>
            <w:pStyle w:val="178"/>
            <w:spacing w:before="3" w:beforeLines="1" w:after="686" w:afterLines="220"/>
          </w:pPr>
          <w:bookmarkStart w:id="25" w:name="NEW_STAND_NAME"/>
          <w:r>
            <w:rPr>
              <w:rFonts w:hint="eastAsia"/>
            </w:rPr>
            <w:t>绿色数据中心建设评价规范</w:t>
          </w:r>
        </w:p>
      </w:sdtContent>
    </w:sdt>
    <w:bookmarkEnd w:id="25"/>
    <w:p>
      <w:pPr>
        <w:pStyle w:val="231"/>
      </w:pPr>
    </w:p>
    <w:p>
      <w:pPr>
        <w:pStyle w:val="236"/>
        <w:spacing w:before="312" w:after="312"/>
      </w:pPr>
      <w:bookmarkStart w:id="26" w:name="_Toc104477827"/>
      <w:r>
        <w:rPr>
          <w:rFonts w:hint="eastAsia"/>
        </w:rPr>
        <w:t>1范围</w:t>
      </w:r>
      <w:bookmarkEnd w:id="26"/>
    </w:p>
    <w:p>
      <w:pPr>
        <w:pStyle w:val="231"/>
      </w:pPr>
      <w:bookmarkStart w:id="27" w:name="_Hlk87962799"/>
      <w:r>
        <w:rPr>
          <w:rFonts w:hint="eastAsia"/>
        </w:rPr>
        <w:t>本文件</w:t>
      </w:r>
      <w:r>
        <w:t>规定了</w:t>
      </w:r>
      <w:r>
        <w:rPr>
          <w:rFonts w:hint="eastAsia"/>
        </w:rPr>
        <w:t>数据</w:t>
      </w:r>
      <w:r>
        <w:t>中心</w:t>
      </w:r>
      <w:r>
        <w:rPr>
          <w:rFonts w:hint="eastAsia"/>
        </w:rPr>
        <w:t>能源利用</w:t>
      </w:r>
      <w:r>
        <w:rPr>
          <w:rFonts w:hint="eastAsia" w:hAnsi="黑体"/>
        </w:rPr>
        <w:t>、资源使用、环境影响管理及</w:t>
      </w:r>
      <w:r>
        <w:rPr>
          <w:rStyle w:val="33"/>
          <w14:scene3d>
            <w14:lightRig w14:rig="threePt" w14:dir="t">
              <w14:rot w14:lat="0" w14:lon="0" w14:rev="0"/>
            </w14:lightRig>
          </w14:scene3d>
        </w:rPr>
        <w:t>相关方管理</w:t>
      </w:r>
      <w:r>
        <w:rPr>
          <w:rStyle w:val="33"/>
          <w:rFonts w:hint="eastAsia"/>
          <w14:scene3d>
            <w14:lightRig w14:rig="threePt" w14:dir="t">
              <w14:rot w14:lat="0" w14:lon="0" w14:rev="0"/>
            </w14:lightRig>
          </w14:scene3d>
        </w:rPr>
        <w:t>的</w:t>
      </w:r>
      <w:r>
        <w:rPr>
          <w:rStyle w:val="33"/>
          <w14:scene3d>
            <w14:lightRig w14:rig="threePt" w14:dir="t">
              <w14:rot w14:lat="0" w14:lon="0" w14:rev="0"/>
            </w14:lightRig>
          </w14:scene3d>
        </w:rPr>
        <w:t>评价方法</w:t>
      </w:r>
      <w:r>
        <w:rPr>
          <w:rFonts w:hint="eastAsia"/>
        </w:rPr>
        <w:t>。</w:t>
      </w:r>
    </w:p>
    <w:bookmarkEnd w:id="27"/>
    <w:p>
      <w:pPr>
        <w:pStyle w:val="231"/>
      </w:pPr>
      <w:r>
        <w:rPr>
          <w:rFonts w:hint="eastAsia"/>
        </w:rPr>
        <w:t>本文件适用于各类数据中心的绿色评价活动</w:t>
      </w:r>
      <w:r>
        <w:t>。</w:t>
      </w:r>
    </w:p>
    <w:p>
      <w:pPr>
        <w:pStyle w:val="236"/>
        <w:spacing w:before="312" w:after="312"/>
        <w:rPr>
          <w:rFonts w:hAnsi="黑体"/>
        </w:rPr>
      </w:pPr>
      <w:bookmarkStart w:id="28" w:name="_Toc104477828"/>
      <w:r>
        <w:rPr>
          <w:rFonts w:hint="eastAsia" w:hAnsi="黑体"/>
        </w:rPr>
        <w:t>2规范性引用文件</w:t>
      </w:r>
      <w:bookmarkEnd w:id="28"/>
    </w:p>
    <w:p>
      <w:pPr>
        <w:pStyle w:val="231"/>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31"/>
        <w:rPr>
          <w:rFonts w:ascii="宋体" w:hAnsi="宋体"/>
        </w:rPr>
      </w:pPr>
      <w:r>
        <w:rPr>
          <w:rFonts w:hint="eastAsia" w:ascii="宋体" w:hAnsi="宋体"/>
        </w:rPr>
        <w:t>GB/T 23331  能源管理体系 要求</w:t>
      </w:r>
    </w:p>
    <w:p>
      <w:pPr>
        <w:pStyle w:val="231"/>
        <w:rPr>
          <w:rFonts w:ascii="宋体" w:hAnsi="宋体"/>
        </w:rPr>
      </w:pPr>
      <w:r>
        <w:rPr>
          <w:rFonts w:hint="eastAsia" w:ascii="宋体" w:hAnsi="宋体"/>
        </w:rPr>
        <w:t>GB/T 24001  环境管理体系 要求及使用指南</w:t>
      </w:r>
    </w:p>
    <w:p>
      <w:pPr>
        <w:pStyle w:val="231"/>
        <w:rPr>
          <w:rFonts w:ascii="宋体" w:hAnsi="宋体"/>
        </w:rPr>
      </w:pPr>
      <w:r>
        <w:rPr>
          <w:rFonts w:hint="eastAsia" w:ascii="宋体" w:hAnsi="宋体"/>
        </w:rPr>
        <w:t>GB/T 26572  电子电气产品中限用物质的限量要求</w:t>
      </w:r>
    </w:p>
    <w:p>
      <w:pPr>
        <w:pStyle w:val="231"/>
        <w:rPr>
          <w:rFonts w:ascii="宋体" w:hAnsi="宋体"/>
        </w:rPr>
      </w:pPr>
      <w:r>
        <w:rPr>
          <w:rFonts w:hint="eastAsia" w:ascii="宋体" w:hAnsi="宋体"/>
        </w:rPr>
        <w:t>GB/T 32910.3-2016  数据中心 资源利用 第3部分：电能能效要求和测量方法</w:t>
      </w:r>
    </w:p>
    <w:p>
      <w:pPr>
        <w:pStyle w:val="231"/>
        <w:rPr>
          <w:rFonts w:ascii="宋体" w:hAnsi="宋体"/>
        </w:rPr>
      </w:pPr>
      <w:r>
        <w:rPr>
          <w:rFonts w:hint="eastAsia" w:ascii="宋体" w:hAnsi="宋体"/>
        </w:rPr>
        <w:t>H</w:t>
      </w:r>
      <w:r>
        <w:rPr>
          <w:rFonts w:ascii="宋体" w:hAnsi="宋体"/>
        </w:rPr>
        <w:t xml:space="preserve">J 2.1-2016 </w:t>
      </w:r>
      <w:r>
        <w:rPr>
          <w:rFonts w:hint="eastAsia" w:ascii="宋体" w:hAnsi="宋体"/>
        </w:rPr>
        <w:t>建设项目环境影响评价技术导则 总纲</w:t>
      </w:r>
    </w:p>
    <w:p>
      <w:pPr>
        <w:pStyle w:val="231"/>
        <w:rPr>
          <w:rFonts w:ascii="宋体" w:hAnsi="宋体"/>
        </w:rPr>
      </w:pPr>
      <w:r>
        <w:rPr>
          <w:rFonts w:hint="eastAsia" w:ascii="宋体" w:hAnsi="宋体"/>
        </w:rPr>
        <w:t>Y</w:t>
      </w:r>
      <w:r>
        <w:rPr>
          <w:rFonts w:ascii="宋体" w:hAnsi="宋体"/>
        </w:rPr>
        <w:t xml:space="preserve">D/T 2543-2013  </w:t>
      </w:r>
      <w:r>
        <w:rPr>
          <w:rFonts w:hint="eastAsia" w:ascii="宋体" w:hAnsi="宋体"/>
        </w:rPr>
        <w:t>电信互联网数据中心（I</w:t>
      </w:r>
      <w:r>
        <w:rPr>
          <w:rFonts w:ascii="宋体" w:hAnsi="宋体"/>
        </w:rPr>
        <w:t>DC</w:t>
      </w:r>
      <w:r>
        <w:rPr>
          <w:rFonts w:hint="eastAsia" w:ascii="宋体" w:hAnsi="宋体"/>
        </w:rPr>
        <w:t>）的能耗测评方法</w:t>
      </w:r>
    </w:p>
    <w:p>
      <w:pPr>
        <w:pStyle w:val="231"/>
        <w:rPr>
          <w:rFonts w:ascii="宋体" w:hAnsi="宋体"/>
        </w:rPr>
      </w:pPr>
      <w:r>
        <w:rPr>
          <w:rFonts w:hint="eastAsia" w:ascii="宋体" w:hAnsi="宋体"/>
        </w:rPr>
        <w:t>D</w:t>
      </w:r>
      <w:r>
        <w:rPr>
          <w:rFonts w:ascii="宋体" w:hAnsi="宋体"/>
        </w:rPr>
        <w:t xml:space="preserve">B11/T 936.1-2020 </w:t>
      </w:r>
      <w:r>
        <w:rPr>
          <w:rFonts w:hint="eastAsia" w:ascii="宋体" w:hAnsi="宋体"/>
        </w:rPr>
        <w:t>节水评价规范 第一部分：通则</w:t>
      </w:r>
    </w:p>
    <w:p>
      <w:pPr>
        <w:pStyle w:val="236"/>
        <w:spacing w:before="312" w:after="312"/>
        <w:rPr>
          <w:rFonts w:hAnsi="黑体"/>
        </w:rPr>
      </w:pPr>
      <w:bookmarkStart w:id="29" w:name="_Toc340601001"/>
      <w:bookmarkEnd w:id="29"/>
      <w:bookmarkStart w:id="30" w:name="_Toc104477829"/>
      <w:r>
        <w:rPr>
          <w:rFonts w:hint="eastAsia" w:hAnsi="黑体"/>
        </w:rPr>
        <w:t>3术语和定义</w:t>
      </w:r>
      <w:bookmarkEnd w:id="30"/>
    </w:p>
    <w:p>
      <w:pPr>
        <w:pStyle w:val="231"/>
      </w:pPr>
      <w:r>
        <w:rPr>
          <w:rFonts w:hint="eastAsia"/>
        </w:rPr>
        <w:t>下列术语和定义适用于本文件。</w:t>
      </w:r>
    </w:p>
    <w:p>
      <w:pPr>
        <w:pStyle w:val="237"/>
        <w:spacing w:before="156" w:after="156"/>
        <w:rPr>
          <w:rFonts w:hAnsi="黑体"/>
        </w:rPr>
      </w:pPr>
      <w:bookmarkStart w:id="31" w:name="_Toc87959574"/>
      <w:r>
        <w:rPr>
          <w:rFonts w:hint="eastAsia" w:hAnsi="黑体"/>
        </w:rPr>
        <w:t>3</w:t>
      </w:r>
      <w:r>
        <w:rPr>
          <w:rFonts w:hAnsi="黑体"/>
        </w:rPr>
        <w:t>.1</w:t>
      </w:r>
      <w:bookmarkEnd w:id="31"/>
    </w:p>
    <w:p>
      <w:pPr>
        <w:pStyle w:val="231"/>
        <w:spacing w:before="156" w:beforeLines="50" w:after="156" w:afterLines="50"/>
        <w:rPr>
          <w:rFonts w:ascii="黑体" w:hAnsi="黑体"/>
        </w:rPr>
      </w:pPr>
      <w:r>
        <w:rPr>
          <w:rFonts w:hint="eastAsia" w:ascii="黑体" w:hAnsi="黑体" w:eastAsia="黑体"/>
        </w:rPr>
        <w:t xml:space="preserve">数据中心 </w:t>
      </w:r>
      <w:r>
        <w:rPr>
          <w:rFonts w:ascii="黑体" w:hAnsi="黑体" w:eastAsia="黑体"/>
        </w:rPr>
        <w:t>data center</w:t>
      </w:r>
    </w:p>
    <w:p>
      <w:pPr>
        <w:pStyle w:val="231"/>
      </w:pPr>
      <w:bookmarkStart w:id="32" w:name="_Hlk91849178"/>
      <w:r>
        <w:rPr>
          <w:rFonts w:hint="eastAsia"/>
        </w:rPr>
        <w:t>是指为信息的集中处理、存储、传输、交换、管理等提供运行环境的场所。包括计算机设备、服务器设备、网络设备、存储设备等电子信息设备，以及供电系统、温控系统、监控系统、消防系统等基础设施。</w:t>
      </w:r>
    </w:p>
    <w:p>
      <w:pPr>
        <w:pStyle w:val="237"/>
        <w:spacing w:before="156" w:after="156"/>
      </w:pPr>
      <w:r>
        <w:rPr>
          <w:rFonts w:hint="eastAsia"/>
        </w:rPr>
        <w:t>3</w:t>
      </w:r>
      <w:r>
        <w:t>.2</w:t>
      </w:r>
    </w:p>
    <w:p>
      <w:pPr>
        <w:pStyle w:val="231"/>
        <w:spacing w:before="156" w:beforeLines="50" w:after="156" w:afterLines="50"/>
        <w:rPr>
          <w:rFonts w:ascii="黑体" w:hAnsi="黑体" w:eastAsia="黑体"/>
        </w:rPr>
      </w:pPr>
      <w:r>
        <w:rPr>
          <w:rFonts w:hint="eastAsia" w:ascii="黑体" w:hAnsi="黑体" w:eastAsia="黑体"/>
        </w:rPr>
        <w:t xml:space="preserve">边缘计算 </w:t>
      </w:r>
      <w:r>
        <w:rPr>
          <w:rFonts w:ascii="黑体" w:hAnsi="黑体" w:eastAsia="黑体"/>
        </w:rPr>
        <w:t>edge computing</w:t>
      </w:r>
    </w:p>
    <w:p>
      <w:pPr>
        <w:pStyle w:val="231"/>
      </w:pPr>
      <w:r>
        <w:rPr>
          <w:rFonts w:hint="eastAsia"/>
        </w:rPr>
        <w:t>边缘计算是指在网络边缘侧或靠近边缘侧进行数据存储和处理的分布式计算形式。</w:t>
      </w:r>
    </w:p>
    <w:p>
      <w:pPr>
        <w:pStyle w:val="237"/>
        <w:spacing w:before="156" w:after="156"/>
      </w:pPr>
      <w:r>
        <w:rPr>
          <w:rFonts w:hint="eastAsia"/>
        </w:rPr>
        <w:t>3</w:t>
      </w:r>
      <w:r>
        <w:t>.3</w:t>
      </w:r>
    </w:p>
    <w:p>
      <w:pPr>
        <w:pStyle w:val="231"/>
        <w:spacing w:before="156" w:beforeLines="50" w:after="156" w:afterLines="50"/>
        <w:rPr>
          <w:rFonts w:ascii="黑体" w:hAnsi="黑体" w:eastAsia="黑体"/>
        </w:rPr>
      </w:pPr>
      <w:r>
        <w:rPr>
          <w:rFonts w:hint="eastAsia" w:ascii="黑体" w:hAnsi="黑体" w:eastAsia="黑体"/>
        </w:rPr>
        <w:t xml:space="preserve">边缘数据中心 </w:t>
      </w:r>
      <w:r>
        <w:rPr>
          <w:rFonts w:ascii="黑体" w:hAnsi="黑体" w:eastAsia="黑体"/>
        </w:rPr>
        <w:t>edge data center</w:t>
      </w:r>
    </w:p>
    <w:p>
      <w:pPr>
        <w:pStyle w:val="231"/>
        <w:rPr>
          <w:rFonts w:ascii="宋体" w:hAnsi="宋体"/>
        </w:rPr>
      </w:pPr>
      <w:bookmarkStart w:id="33" w:name="_Hlk91849578"/>
      <w:r>
        <w:rPr>
          <w:rFonts w:hint="eastAsia" w:ascii="宋体" w:hAnsi="宋体"/>
        </w:rPr>
        <w:t>是指靠近用户侧部署、为边缘计算提供运行环境的建筑场所，机架数量不超过100个标准机架</w:t>
      </w:r>
      <w:r>
        <w:rPr>
          <w:rFonts w:hint="eastAsia"/>
        </w:rPr>
        <w:t>。</w:t>
      </w:r>
    </w:p>
    <w:bookmarkEnd w:id="32"/>
    <w:bookmarkEnd w:id="33"/>
    <w:p>
      <w:pPr>
        <w:pStyle w:val="237"/>
        <w:spacing w:before="156" w:after="156"/>
        <w:rPr>
          <w:rFonts w:hAnsi="黑体"/>
        </w:rPr>
      </w:pPr>
      <w:bookmarkStart w:id="34" w:name="_Toc87959575"/>
      <w:r>
        <w:rPr>
          <w:rFonts w:hint="eastAsia" w:hAnsi="黑体"/>
        </w:rPr>
        <w:t>3</w:t>
      </w:r>
      <w:r>
        <w:rPr>
          <w:rFonts w:hAnsi="黑体"/>
        </w:rPr>
        <w:t>.</w:t>
      </w:r>
      <w:bookmarkEnd w:id="34"/>
      <w:r>
        <w:rPr>
          <w:rFonts w:hAnsi="黑体"/>
        </w:rPr>
        <w:t>4</w:t>
      </w:r>
    </w:p>
    <w:p>
      <w:pPr>
        <w:pStyle w:val="231"/>
        <w:spacing w:before="156" w:beforeLines="50" w:after="156" w:afterLines="50"/>
      </w:pPr>
      <w:r>
        <w:rPr>
          <w:rFonts w:hint="eastAsia" w:ascii="黑体" w:hAnsi="黑体" w:eastAsia="黑体"/>
        </w:rPr>
        <w:t>绿色数据中心</w:t>
      </w:r>
      <w:r>
        <w:rPr>
          <w:rFonts w:ascii="黑体" w:hAnsi="黑体" w:eastAsia="黑体"/>
        </w:rPr>
        <w:t xml:space="preserve"> green data center</w:t>
      </w:r>
    </w:p>
    <w:p>
      <w:pPr>
        <w:pStyle w:val="231"/>
      </w:pPr>
      <w:r>
        <w:rPr>
          <w:rFonts w:hint="eastAsia"/>
        </w:rPr>
        <w:t>在全生命周期内，最大限度地节约资源、保护环境、减少污染，为电子信息设备运行和人员提供安全、可靠、健康、适用和高效使用空间的数据中心。</w:t>
      </w:r>
    </w:p>
    <w:p>
      <w:pPr>
        <w:pStyle w:val="237"/>
        <w:spacing w:before="156" w:after="156"/>
      </w:pPr>
      <w:bookmarkStart w:id="35" w:name="_Toc87959576"/>
      <w:r>
        <w:rPr>
          <w:rFonts w:hint="eastAsia"/>
        </w:rPr>
        <w:t>3</w:t>
      </w:r>
      <w:r>
        <w:t>.</w:t>
      </w:r>
      <w:bookmarkEnd w:id="35"/>
      <w:r>
        <w:t>5</w:t>
      </w:r>
    </w:p>
    <w:p>
      <w:pPr>
        <w:pStyle w:val="231"/>
        <w:spacing w:before="156" w:beforeLines="50" w:after="156" w:afterLines="50"/>
        <w:rPr>
          <w:rFonts w:ascii="黑体" w:hAnsi="黑体" w:eastAsia="黑体"/>
        </w:rPr>
      </w:pPr>
      <w:bookmarkStart w:id="36" w:name="OLE_LINK12"/>
      <w:bookmarkStart w:id="37" w:name="OLE_LINK11"/>
      <w:bookmarkStart w:id="38" w:name="_Toc389036170"/>
      <w:r>
        <w:rPr>
          <w:rFonts w:hint="eastAsia" w:ascii="黑体" w:hAnsi="黑体" w:eastAsia="黑体"/>
        </w:rPr>
        <w:t>电能使用效率</w:t>
      </w:r>
      <w:bookmarkEnd w:id="36"/>
      <w:bookmarkEnd w:id="37"/>
      <w:r>
        <w:rPr>
          <w:rFonts w:hint="eastAsia" w:ascii="黑体" w:hAnsi="黑体" w:eastAsia="黑体"/>
        </w:rPr>
        <w:t>（P</w:t>
      </w:r>
      <w:r>
        <w:rPr>
          <w:rFonts w:ascii="黑体" w:hAnsi="黑体" w:eastAsia="黑体"/>
        </w:rPr>
        <w:t>UE</w:t>
      </w:r>
      <w:r>
        <w:rPr>
          <w:rFonts w:hint="eastAsia" w:ascii="黑体" w:hAnsi="黑体" w:eastAsia="黑体"/>
        </w:rPr>
        <w:t xml:space="preserve">） </w:t>
      </w:r>
      <w:bookmarkEnd w:id="38"/>
      <w:r>
        <w:rPr>
          <w:rFonts w:ascii="黑体" w:hAnsi="黑体" w:eastAsia="黑体"/>
        </w:rPr>
        <w:t>power usage effectiveness</w:t>
      </w:r>
    </w:p>
    <w:p>
      <w:pPr>
        <w:pStyle w:val="231"/>
        <w:tabs>
          <w:tab w:val="clear" w:pos="4201"/>
          <w:tab w:val="clear" w:pos="9298"/>
        </w:tabs>
      </w:pPr>
      <w:bookmarkStart w:id="39" w:name="_Hlk91849620"/>
      <w:r>
        <w:rPr>
          <w:rFonts w:hint="eastAsia"/>
        </w:rPr>
        <w:t>一定时间周期内数据中心总电能消耗量与信息设备电能消耗量的比值</w:t>
      </w:r>
      <w:bookmarkEnd w:id="39"/>
      <w:r>
        <w:rPr>
          <w:rFonts w:hint="eastAsia"/>
        </w:rPr>
        <w:t>。</w:t>
      </w:r>
    </w:p>
    <w:p>
      <w:pPr>
        <w:pStyle w:val="237"/>
        <w:spacing w:before="156" w:after="156"/>
      </w:pPr>
      <w:bookmarkStart w:id="40" w:name="_Toc87959577"/>
      <w:r>
        <w:rPr>
          <w:rFonts w:hint="eastAsia"/>
        </w:rPr>
        <w:t>3</w:t>
      </w:r>
      <w:r>
        <w:t>.</w:t>
      </w:r>
      <w:bookmarkEnd w:id="40"/>
      <w:r>
        <w:t>6</w:t>
      </w:r>
    </w:p>
    <w:p>
      <w:pPr>
        <w:pStyle w:val="231"/>
        <w:spacing w:before="156" w:beforeLines="50" w:after="156" w:afterLines="50"/>
        <w:rPr>
          <w:rFonts w:ascii="黑体" w:hAnsi="黑体" w:eastAsia="黑体"/>
        </w:rPr>
      </w:pPr>
      <w:r>
        <w:rPr>
          <w:rFonts w:hint="eastAsia" w:ascii="黑体" w:hAnsi="黑体" w:eastAsia="黑体"/>
        </w:rPr>
        <w:t>水资源使用效率（</w:t>
      </w:r>
      <w:r>
        <w:rPr>
          <w:rFonts w:ascii="黑体" w:hAnsi="黑体" w:eastAsia="黑体"/>
        </w:rPr>
        <w:t>WUE</w:t>
      </w:r>
      <w:r>
        <w:rPr>
          <w:rFonts w:hint="eastAsia" w:ascii="黑体" w:hAnsi="黑体" w:eastAsia="黑体"/>
        </w:rPr>
        <w:t>）</w:t>
      </w:r>
      <w:r>
        <w:rPr>
          <w:rFonts w:ascii="黑体" w:hAnsi="黑体" w:eastAsia="黑体"/>
        </w:rPr>
        <w:t>water energy usage effectiveness</w:t>
      </w:r>
    </w:p>
    <w:p>
      <w:pPr>
        <w:pStyle w:val="231"/>
        <w:rPr>
          <w:rFonts w:ascii="黑体" w:hAnsi="黑体" w:eastAsia="黑体"/>
        </w:rPr>
      </w:pPr>
      <w:r>
        <w:rPr>
          <w:rFonts w:hint="eastAsia"/>
        </w:rPr>
        <w:t>一定时间周期内数据中心水资源消耗量与信息设备电能消耗量的比值。</w:t>
      </w:r>
    </w:p>
    <w:p>
      <w:pPr>
        <w:pStyle w:val="237"/>
        <w:spacing w:before="156" w:after="156"/>
        <w:rPr>
          <w:rFonts w:hAnsi="黑体"/>
        </w:rPr>
      </w:pPr>
      <w:bookmarkStart w:id="41" w:name="_Toc87959578"/>
      <w:r>
        <w:rPr>
          <w:rFonts w:hint="eastAsia" w:hAnsi="黑体"/>
        </w:rPr>
        <w:t>3.</w:t>
      </w:r>
      <w:bookmarkEnd w:id="41"/>
      <w:r>
        <w:rPr>
          <w:rFonts w:hAnsi="黑体"/>
        </w:rPr>
        <w:t>7</w:t>
      </w:r>
    </w:p>
    <w:p>
      <w:pPr>
        <w:pStyle w:val="231"/>
        <w:spacing w:before="156" w:beforeLines="50" w:after="156" w:afterLines="50"/>
        <w:rPr>
          <w:rFonts w:hAnsi="黑体"/>
        </w:rPr>
      </w:pPr>
      <w:r>
        <w:rPr>
          <w:rFonts w:hint="eastAsia" w:ascii="黑体" w:hAnsi="黑体" w:eastAsia="黑体"/>
        </w:rPr>
        <w:t>评价</w:t>
      </w:r>
      <w:r>
        <w:rPr>
          <w:rFonts w:ascii="黑体" w:hAnsi="黑体" w:eastAsia="黑体"/>
        </w:rPr>
        <w:t xml:space="preserve"> evaluation</w:t>
      </w:r>
    </w:p>
    <w:p>
      <w:pPr>
        <w:pStyle w:val="231"/>
      </w:pPr>
      <w:r>
        <w:rPr>
          <w:rFonts w:hint="eastAsia"/>
        </w:rPr>
        <w:t>通过取证、认定、分析、换算等系列评估手段确定数据中心符合本标准程度的活动。包括自评价（第一方评价）、相关方评价（服务需方及其他相关方对数据中心的选择评价，第二方评价）、第三方评价。</w:t>
      </w:r>
    </w:p>
    <w:p>
      <w:pPr>
        <w:pStyle w:val="236"/>
        <w:spacing w:before="312" w:after="312"/>
        <w:rPr>
          <w:rFonts w:hAnsi="黑体"/>
        </w:rPr>
      </w:pPr>
      <w:bookmarkStart w:id="42" w:name="_Toc104477830"/>
      <w:r>
        <w:rPr>
          <w:rFonts w:hAnsi="黑体"/>
        </w:rPr>
        <w:t>4</w:t>
      </w:r>
      <w:r>
        <w:rPr>
          <w:rFonts w:hint="eastAsia" w:hAnsi="黑体"/>
        </w:rPr>
        <w:t>绿色数据中心评价方法</w:t>
      </w:r>
      <w:bookmarkEnd w:id="42"/>
    </w:p>
    <w:p>
      <w:pPr>
        <w:pStyle w:val="235"/>
        <w:spacing w:before="156" w:after="156"/>
        <w:rPr>
          <w:rFonts w:hAnsi="黑体"/>
        </w:rPr>
      </w:pPr>
      <w:bookmarkStart w:id="43" w:name="_Toc104477831"/>
      <w:r>
        <w:rPr>
          <w:rFonts w:hAnsi="黑体"/>
        </w:rPr>
        <w:t>4.1</w:t>
      </w:r>
      <w:r>
        <w:rPr>
          <w:rFonts w:hint="eastAsia" w:hAnsi="黑体"/>
        </w:rPr>
        <w:t>概述</w:t>
      </w:r>
      <w:bookmarkEnd w:id="43"/>
    </w:p>
    <w:p>
      <w:pPr>
        <w:pStyle w:val="231"/>
      </w:pPr>
      <w:r>
        <w:rPr>
          <w:rFonts w:hint="eastAsia"/>
        </w:rPr>
        <w:t>数据中心应采用节约能源和资源的设计理念，优化能源、资源的使用方式和使用过程，在全生命周期内充分考虑最少化资源消耗和最小化环境影响。</w:t>
      </w:r>
    </w:p>
    <w:p>
      <w:pPr>
        <w:pStyle w:val="235"/>
        <w:spacing w:before="156" w:after="156"/>
        <w:rPr>
          <w:rFonts w:hAnsi="黑体"/>
        </w:rPr>
      </w:pPr>
      <w:bookmarkStart w:id="44" w:name="_Toc104477832"/>
      <w:r>
        <w:rPr>
          <w:rFonts w:hAnsi="黑体"/>
        </w:rPr>
        <w:t>4.</w:t>
      </w:r>
      <w:r>
        <w:rPr>
          <w:rFonts w:hint="eastAsia" w:hAnsi="黑体"/>
        </w:rPr>
        <w:t>2</w:t>
      </w:r>
      <w:r>
        <w:rPr>
          <w:rFonts w:hint="eastAsia" w:ascii="Times New Roman"/>
        </w:rPr>
        <w:t>能源利用</w:t>
      </w:r>
      <w:r>
        <w:rPr>
          <w:rFonts w:hint="eastAsia" w:hAnsi="黑体"/>
        </w:rPr>
        <w:t>评价方法</w:t>
      </w:r>
      <w:bookmarkEnd w:id="44"/>
    </w:p>
    <w:p>
      <w:pPr>
        <w:pStyle w:val="237"/>
        <w:spacing w:before="156" w:after="156"/>
      </w:pPr>
      <w:r>
        <w:t>4</w:t>
      </w:r>
      <w:r>
        <w:rPr>
          <w:rFonts w:hint="eastAsia"/>
        </w:rPr>
        <w:t>.2.1 电能使用效率（PUE）</w:t>
      </w:r>
    </w:p>
    <w:p>
      <w:pPr>
        <w:pStyle w:val="231"/>
      </w:pPr>
      <w:bookmarkStart w:id="45" w:name="_Toc528169599"/>
      <w:bookmarkEnd w:id="45"/>
      <w:bookmarkStart w:id="46" w:name="_Toc528169931"/>
      <w:bookmarkEnd w:id="46"/>
      <w:bookmarkStart w:id="47" w:name="_Toc528169966"/>
      <w:bookmarkEnd w:id="47"/>
      <w:bookmarkStart w:id="48" w:name="_Toc528169595"/>
      <w:bookmarkEnd w:id="48"/>
      <w:bookmarkStart w:id="49" w:name="_Toc528169539"/>
      <w:bookmarkEnd w:id="49"/>
      <w:bookmarkStart w:id="50" w:name="_Toc528169597"/>
      <w:bookmarkEnd w:id="50"/>
      <w:bookmarkStart w:id="51" w:name="_Toc528169930"/>
      <w:bookmarkEnd w:id="51"/>
      <w:bookmarkStart w:id="52" w:name="_Toc528169942"/>
      <w:bookmarkEnd w:id="52"/>
      <w:bookmarkStart w:id="53" w:name="_Toc528169542"/>
      <w:bookmarkEnd w:id="53"/>
      <w:bookmarkStart w:id="54" w:name="_Toc528169545"/>
      <w:bookmarkEnd w:id="54"/>
      <w:bookmarkStart w:id="55" w:name="_Toc528169932"/>
      <w:bookmarkEnd w:id="55"/>
      <w:bookmarkStart w:id="56" w:name="_Toc528169986"/>
      <w:bookmarkEnd w:id="56"/>
      <w:bookmarkStart w:id="57" w:name="_Toc528169548"/>
      <w:bookmarkEnd w:id="57"/>
      <w:bookmarkStart w:id="58" w:name="_Toc528169983"/>
      <w:bookmarkEnd w:id="58"/>
      <w:bookmarkStart w:id="59" w:name="_Toc528169927"/>
      <w:bookmarkEnd w:id="59"/>
      <w:bookmarkStart w:id="60" w:name="_Toc528169540"/>
      <w:bookmarkEnd w:id="60"/>
      <w:bookmarkStart w:id="61" w:name="_Toc528169535"/>
      <w:bookmarkEnd w:id="61"/>
      <w:bookmarkStart w:id="62" w:name="_Toc528169948"/>
      <w:bookmarkEnd w:id="62"/>
      <w:bookmarkStart w:id="63" w:name="_Toc528169949"/>
      <w:bookmarkEnd w:id="63"/>
      <w:bookmarkStart w:id="64" w:name="_Toc528169940"/>
      <w:bookmarkEnd w:id="64"/>
      <w:bookmarkStart w:id="65" w:name="_Toc528169958"/>
      <w:bookmarkEnd w:id="65"/>
      <w:bookmarkStart w:id="66" w:name="_Toc528169929"/>
      <w:bookmarkEnd w:id="66"/>
      <w:bookmarkStart w:id="67" w:name="_Toc528169951"/>
      <w:bookmarkEnd w:id="67"/>
      <w:bookmarkStart w:id="68" w:name="_Toc528169945"/>
      <w:bookmarkEnd w:id="68"/>
      <w:bookmarkStart w:id="69" w:name="_Toc528169554"/>
      <w:bookmarkEnd w:id="69"/>
      <w:bookmarkStart w:id="70" w:name="_Toc528169935"/>
      <w:bookmarkEnd w:id="70"/>
      <w:bookmarkStart w:id="71" w:name="_Toc528169964"/>
      <w:bookmarkEnd w:id="71"/>
      <w:bookmarkStart w:id="72" w:name="_Toc528169537"/>
      <w:bookmarkEnd w:id="72"/>
      <w:bookmarkStart w:id="73" w:name="_Toc528169937"/>
      <w:bookmarkEnd w:id="73"/>
      <w:bookmarkStart w:id="74" w:name="_Toc528169594"/>
      <w:bookmarkEnd w:id="74"/>
      <w:bookmarkStart w:id="75" w:name="_Toc528169561"/>
      <w:bookmarkEnd w:id="75"/>
      <w:bookmarkStart w:id="76" w:name="_Toc528169947"/>
      <w:bookmarkEnd w:id="76"/>
      <w:bookmarkStart w:id="77" w:name="_Toc528169538"/>
      <w:bookmarkEnd w:id="77"/>
      <w:bookmarkStart w:id="78" w:name="_Toc528169571"/>
      <w:bookmarkEnd w:id="78"/>
      <w:bookmarkStart w:id="79" w:name="_Toc528169952"/>
      <w:bookmarkEnd w:id="79"/>
      <w:bookmarkStart w:id="80" w:name="_Toc528169950"/>
      <w:bookmarkEnd w:id="80"/>
      <w:bookmarkStart w:id="81" w:name="_Toc528169558"/>
      <w:bookmarkEnd w:id="81"/>
      <w:bookmarkStart w:id="82" w:name="_Toc528169536"/>
      <w:bookmarkEnd w:id="82"/>
      <w:bookmarkStart w:id="83" w:name="_Toc528169934"/>
      <w:bookmarkEnd w:id="83"/>
      <w:bookmarkStart w:id="84" w:name="_Toc528169541"/>
      <w:bookmarkEnd w:id="84"/>
      <w:bookmarkStart w:id="85" w:name="_Toc528169928"/>
      <w:bookmarkEnd w:id="85"/>
      <w:bookmarkStart w:id="86" w:name="_Toc528169933"/>
      <w:bookmarkEnd w:id="86"/>
      <w:bookmarkStart w:id="87" w:name="_Toc528169978"/>
      <w:bookmarkEnd w:id="87"/>
      <w:bookmarkStart w:id="88" w:name="_Toc528169939"/>
      <w:bookmarkEnd w:id="88"/>
      <w:bookmarkStart w:id="89" w:name="_Toc528169936"/>
      <w:bookmarkEnd w:id="89"/>
      <w:bookmarkStart w:id="90" w:name="_Toc528169974"/>
      <w:bookmarkEnd w:id="90"/>
      <w:bookmarkStart w:id="91" w:name="_Toc528169984"/>
      <w:bookmarkEnd w:id="91"/>
      <w:bookmarkStart w:id="92" w:name="_Toc528169544"/>
      <w:bookmarkEnd w:id="92"/>
      <w:bookmarkStart w:id="93" w:name="_Toc528169543"/>
      <w:bookmarkEnd w:id="93"/>
      <w:bookmarkStart w:id="94" w:name="_Toc528169979"/>
      <w:bookmarkEnd w:id="94"/>
      <w:bookmarkStart w:id="95" w:name="_Toc528169592"/>
      <w:bookmarkEnd w:id="95"/>
      <w:bookmarkStart w:id="96" w:name="_Toc528169575"/>
      <w:bookmarkEnd w:id="96"/>
      <w:bookmarkStart w:id="97" w:name="_Toc528169549"/>
      <w:bookmarkEnd w:id="97"/>
      <w:bookmarkStart w:id="98" w:name="_Toc528169977"/>
      <w:bookmarkEnd w:id="98"/>
      <w:bookmarkStart w:id="99" w:name="_Toc528169943"/>
      <w:bookmarkEnd w:id="99"/>
      <w:bookmarkStart w:id="100" w:name="_Toc528169975"/>
      <w:bookmarkEnd w:id="100"/>
      <w:bookmarkStart w:id="101" w:name="_Toc528169976"/>
      <w:bookmarkEnd w:id="101"/>
      <w:bookmarkStart w:id="102" w:name="_Toc528169550"/>
      <w:bookmarkEnd w:id="102"/>
      <w:bookmarkStart w:id="103" w:name="_Toc528169955"/>
      <w:bookmarkEnd w:id="103"/>
      <w:bookmarkStart w:id="104" w:name="_Toc528169962"/>
      <w:bookmarkEnd w:id="104"/>
      <w:bookmarkStart w:id="105" w:name="_Toc528169596"/>
      <w:bookmarkEnd w:id="105"/>
      <w:bookmarkStart w:id="106" w:name="_Toc528169960"/>
      <w:bookmarkEnd w:id="106"/>
      <w:bookmarkStart w:id="107" w:name="_Toc528169967"/>
      <w:bookmarkEnd w:id="107"/>
      <w:bookmarkStart w:id="108" w:name="_Toc528169574"/>
      <w:bookmarkEnd w:id="108"/>
      <w:bookmarkStart w:id="109" w:name="_Toc528169593"/>
      <w:bookmarkEnd w:id="109"/>
      <w:bookmarkStart w:id="110" w:name="_Toc528169963"/>
      <w:bookmarkEnd w:id="110"/>
      <w:bookmarkStart w:id="111" w:name="_Toc528169944"/>
      <w:bookmarkEnd w:id="111"/>
      <w:bookmarkStart w:id="112" w:name="_Toc528169973"/>
      <w:bookmarkEnd w:id="112"/>
      <w:bookmarkStart w:id="113" w:name="_Toc528169981"/>
      <w:bookmarkEnd w:id="113"/>
      <w:bookmarkStart w:id="114" w:name="_Toc528169971"/>
      <w:bookmarkEnd w:id="114"/>
      <w:bookmarkStart w:id="115" w:name="_Toc528169584"/>
      <w:bookmarkEnd w:id="115"/>
      <w:bookmarkStart w:id="116" w:name="_Toc528169938"/>
      <w:bookmarkEnd w:id="116"/>
      <w:bookmarkStart w:id="117" w:name="_Toc528169583"/>
      <w:bookmarkEnd w:id="117"/>
      <w:bookmarkStart w:id="118" w:name="_Toc528169970"/>
      <w:bookmarkEnd w:id="118"/>
      <w:bookmarkStart w:id="119" w:name="_Toc528169546"/>
      <w:bookmarkEnd w:id="119"/>
      <w:bookmarkStart w:id="120" w:name="_Toc528169563"/>
      <w:bookmarkEnd w:id="120"/>
      <w:bookmarkStart w:id="121" w:name="_Toc528169961"/>
      <w:bookmarkEnd w:id="121"/>
      <w:bookmarkStart w:id="122" w:name="_Toc528169586"/>
      <w:bookmarkEnd w:id="122"/>
      <w:bookmarkStart w:id="123" w:name="_Toc528169587"/>
      <w:bookmarkEnd w:id="123"/>
      <w:bookmarkStart w:id="124" w:name="_Toc528169577"/>
      <w:bookmarkEnd w:id="124"/>
      <w:bookmarkStart w:id="125" w:name="_Toc528169572"/>
      <w:bookmarkEnd w:id="125"/>
      <w:bookmarkStart w:id="126" w:name="_Toc528169581"/>
      <w:bookmarkEnd w:id="126"/>
      <w:bookmarkStart w:id="127" w:name="_Toc528169576"/>
      <w:bookmarkEnd w:id="127"/>
      <w:bookmarkStart w:id="128" w:name="_Toc528169965"/>
      <w:bookmarkEnd w:id="128"/>
      <w:bookmarkStart w:id="129" w:name="_Toc528169580"/>
      <w:bookmarkEnd w:id="129"/>
      <w:bookmarkStart w:id="130" w:name="_Toc528169972"/>
      <w:bookmarkEnd w:id="130"/>
      <w:bookmarkStart w:id="131" w:name="_Toc528169582"/>
      <w:bookmarkEnd w:id="131"/>
      <w:bookmarkStart w:id="132" w:name="_Toc528169551"/>
      <w:bookmarkEnd w:id="132"/>
      <w:bookmarkStart w:id="133" w:name="_Toc528169954"/>
      <w:bookmarkEnd w:id="133"/>
      <w:bookmarkStart w:id="134" w:name="_Toc528169557"/>
      <w:bookmarkEnd w:id="134"/>
      <w:bookmarkStart w:id="135" w:name="_Toc528169941"/>
      <w:bookmarkEnd w:id="135"/>
      <w:bookmarkStart w:id="136" w:name="_Toc528169560"/>
      <w:bookmarkEnd w:id="136"/>
      <w:bookmarkStart w:id="137" w:name="_Toc528169589"/>
      <w:bookmarkEnd w:id="137"/>
      <w:bookmarkStart w:id="138" w:name="_Toc528169982"/>
      <w:bookmarkEnd w:id="138"/>
      <w:bookmarkStart w:id="139" w:name="_Toc528169968"/>
      <w:bookmarkEnd w:id="139"/>
      <w:bookmarkStart w:id="140" w:name="_Toc528169591"/>
      <w:bookmarkEnd w:id="140"/>
      <w:bookmarkStart w:id="141" w:name="_Toc528169556"/>
      <w:bookmarkEnd w:id="141"/>
      <w:bookmarkStart w:id="142" w:name="_Toc528169553"/>
      <w:bookmarkEnd w:id="142"/>
      <w:bookmarkStart w:id="143" w:name="_Toc528169953"/>
      <w:bookmarkEnd w:id="143"/>
      <w:bookmarkStart w:id="144" w:name="_Toc528169946"/>
      <w:bookmarkEnd w:id="144"/>
      <w:bookmarkStart w:id="145" w:name="_Toc528169562"/>
      <w:bookmarkEnd w:id="145"/>
      <w:bookmarkStart w:id="146" w:name="_Toc528169980"/>
      <w:bookmarkEnd w:id="146"/>
      <w:bookmarkStart w:id="147" w:name="_Toc528169555"/>
      <w:bookmarkEnd w:id="147"/>
      <w:bookmarkStart w:id="148" w:name="_Toc528169959"/>
      <w:bookmarkEnd w:id="148"/>
      <w:bookmarkStart w:id="149" w:name="_Toc528169570"/>
      <w:bookmarkEnd w:id="149"/>
      <w:bookmarkStart w:id="150" w:name="_Toc528169588"/>
      <w:bookmarkEnd w:id="150"/>
      <w:bookmarkStart w:id="151" w:name="_Toc528169578"/>
      <w:bookmarkEnd w:id="151"/>
      <w:bookmarkStart w:id="152" w:name="_Toc528169585"/>
      <w:bookmarkEnd w:id="152"/>
      <w:bookmarkStart w:id="153" w:name="_Toc528169579"/>
      <w:bookmarkEnd w:id="153"/>
      <w:bookmarkStart w:id="154" w:name="_Toc528169552"/>
      <w:bookmarkEnd w:id="154"/>
      <w:bookmarkStart w:id="155" w:name="_Toc528169985"/>
      <w:bookmarkEnd w:id="155"/>
      <w:bookmarkStart w:id="156" w:name="_Toc528169559"/>
      <w:bookmarkEnd w:id="156"/>
      <w:bookmarkStart w:id="157" w:name="_Toc528169598"/>
      <w:bookmarkEnd w:id="157"/>
      <w:bookmarkStart w:id="158" w:name="_Toc528169573"/>
      <w:bookmarkEnd w:id="158"/>
      <w:bookmarkStart w:id="159" w:name="_Toc528169969"/>
      <w:bookmarkEnd w:id="159"/>
      <w:bookmarkStart w:id="160" w:name="_Toc528169957"/>
      <w:bookmarkEnd w:id="160"/>
      <w:bookmarkStart w:id="161" w:name="_Toc528169590"/>
      <w:bookmarkEnd w:id="161"/>
      <w:bookmarkStart w:id="162" w:name="_Toc528169547"/>
      <w:bookmarkEnd w:id="162"/>
      <w:r>
        <w:rPr>
          <w:rFonts w:hint="eastAsia"/>
        </w:rPr>
        <w:t>数据中心运行过程中主要消耗的能源形式为电能。数据中心所消耗的电能</w:t>
      </w:r>
      <w:bookmarkStart w:id="163" w:name="_Toc359586949"/>
      <w:bookmarkStart w:id="164" w:name="_Toc359513523"/>
      <w:r>
        <w:rPr>
          <w:rFonts w:hint="eastAsia"/>
        </w:rPr>
        <w:t>来源既包括公共电网，也包括数据中心自身或合作方通过其他一次能源转换产生的电力。数据中心应对电能进行有效管理，提高电能利用的效率。</w:t>
      </w:r>
      <w:bookmarkEnd w:id="163"/>
      <w:bookmarkEnd w:id="164"/>
      <w:r>
        <w:rPr>
          <w:rFonts w:hint="eastAsia"/>
        </w:rPr>
        <w:t>数据中心的电能使用效率（</w:t>
      </w:r>
      <w:r>
        <w:rPr>
          <w:rFonts w:hint="eastAsia" w:ascii="宋体" w:hAnsi="宋体"/>
        </w:rPr>
        <w:t>P</w:t>
      </w:r>
      <w:r>
        <w:rPr>
          <w:rFonts w:ascii="宋体" w:hAnsi="宋体"/>
        </w:rPr>
        <w:t>UE</w:t>
      </w:r>
      <w:r>
        <w:rPr>
          <w:rFonts w:hint="eastAsia"/>
        </w:rPr>
        <w:t>）应满足以下要求：</w:t>
      </w:r>
    </w:p>
    <w:p>
      <w:pPr>
        <w:pStyle w:val="240"/>
        <w:numPr>
          <w:ilvl w:val="0"/>
          <w:numId w:val="33"/>
        </w:numPr>
        <w:rPr>
          <w:rFonts w:hAnsi="宋体"/>
        </w:rPr>
      </w:pPr>
      <w:bookmarkStart w:id="165" w:name="_Toc528169479"/>
      <w:bookmarkEnd w:id="165"/>
      <w:bookmarkStart w:id="166" w:name="_Toc528169875"/>
      <w:bookmarkEnd w:id="166"/>
      <w:bookmarkStart w:id="167" w:name="_Toc528169475"/>
      <w:bookmarkEnd w:id="167"/>
      <w:bookmarkStart w:id="168" w:name="_Toc528169498"/>
      <w:bookmarkEnd w:id="168"/>
      <w:bookmarkStart w:id="169" w:name="_Toc528169886"/>
      <w:bookmarkEnd w:id="169"/>
      <w:bookmarkStart w:id="170" w:name="_Toc528169473"/>
      <w:bookmarkEnd w:id="170"/>
      <w:bookmarkStart w:id="171" w:name="_Toc528169501"/>
      <w:bookmarkEnd w:id="171"/>
      <w:bookmarkStart w:id="172" w:name="_Toc528169485"/>
      <w:bookmarkEnd w:id="172"/>
      <w:bookmarkStart w:id="173" w:name="_Toc528169476"/>
      <w:bookmarkEnd w:id="173"/>
      <w:bookmarkStart w:id="174" w:name="_Toc528169481"/>
      <w:bookmarkEnd w:id="174"/>
      <w:bookmarkStart w:id="175" w:name="_Toc528169898"/>
      <w:bookmarkEnd w:id="175"/>
      <w:bookmarkStart w:id="176" w:name="_Toc528169876"/>
      <w:bookmarkEnd w:id="176"/>
      <w:bookmarkStart w:id="177" w:name="_Toc528169888"/>
      <w:bookmarkEnd w:id="177"/>
      <w:bookmarkStart w:id="178" w:name="_Toc528169883"/>
      <w:bookmarkEnd w:id="178"/>
      <w:bookmarkStart w:id="179" w:name="_Toc528169881"/>
      <w:bookmarkEnd w:id="179"/>
      <w:bookmarkStart w:id="180" w:name="_Toc528169493"/>
      <w:bookmarkEnd w:id="180"/>
      <w:bookmarkStart w:id="181" w:name="_Toc528169877"/>
      <w:bookmarkEnd w:id="181"/>
      <w:bookmarkStart w:id="182" w:name="_Toc528169895"/>
      <w:bookmarkEnd w:id="182"/>
      <w:bookmarkStart w:id="183" w:name="_Toc528169500"/>
      <w:bookmarkEnd w:id="183"/>
      <w:bookmarkStart w:id="184" w:name="_Toc528169889"/>
      <w:bookmarkEnd w:id="184"/>
      <w:bookmarkStart w:id="185" w:name="_Toc528169503"/>
      <w:bookmarkEnd w:id="185"/>
      <w:bookmarkStart w:id="186" w:name="_Toc528169491"/>
      <w:bookmarkEnd w:id="186"/>
      <w:bookmarkStart w:id="187" w:name="_Toc528169495"/>
      <w:bookmarkEnd w:id="187"/>
      <w:bookmarkStart w:id="188" w:name="_Toc528169474"/>
      <w:bookmarkEnd w:id="188"/>
      <w:bookmarkStart w:id="189" w:name="_Toc528169891"/>
      <w:bookmarkEnd w:id="189"/>
      <w:bookmarkStart w:id="190" w:name="_Toc528169890"/>
      <w:bookmarkEnd w:id="190"/>
      <w:bookmarkStart w:id="191" w:name="_Toc528169529"/>
      <w:bookmarkEnd w:id="191"/>
      <w:bookmarkStart w:id="192" w:name="_Toc528169482"/>
      <w:bookmarkEnd w:id="192"/>
      <w:bookmarkStart w:id="193" w:name="_Toc528169480"/>
      <w:bookmarkEnd w:id="193"/>
      <w:bookmarkStart w:id="194" w:name="_Toc528169901"/>
      <w:bookmarkEnd w:id="194"/>
      <w:bookmarkStart w:id="195" w:name="_Toc528169878"/>
      <w:bookmarkEnd w:id="195"/>
      <w:bookmarkStart w:id="196" w:name="_Toc528169490"/>
      <w:bookmarkEnd w:id="196"/>
      <w:bookmarkStart w:id="197" w:name="_Toc528169894"/>
      <w:bookmarkEnd w:id="197"/>
      <w:bookmarkStart w:id="198" w:name="_Toc528169879"/>
      <w:bookmarkEnd w:id="198"/>
      <w:bookmarkStart w:id="199" w:name="_Toc528169892"/>
      <w:bookmarkEnd w:id="199"/>
      <w:bookmarkStart w:id="200" w:name="_Toc528169885"/>
      <w:bookmarkEnd w:id="200"/>
      <w:bookmarkStart w:id="201" w:name="_Toc528169915"/>
      <w:bookmarkEnd w:id="201"/>
      <w:bookmarkStart w:id="202" w:name="_Toc528169918"/>
      <w:bookmarkEnd w:id="202"/>
      <w:bookmarkStart w:id="203" w:name="_Toc528169521"/>
      <w:bookmarkEnd w:id="203"/>
      <w:bookmarkStart w:id="204" w:name="_Toc528169525"/>
      <w:bookmarkEnd w:id="204"/>
      <w:bookmarkStart w:id="205" w:name="_Toc528169919"/>
      <w:bookmarkEnd w:id="205"/>
      <w:bookmarkStart w:id="206" w:name="_Toc528169511"/>
      <w:bookmarkEnd w:id="206"/>
      <w:bookmarkStart w:id="207" w:name="_Toc528169478"/>
      <w:bookmarkEnd w:id="207"/>
      <w:bookmarkStart w:id="208" w:name="_Toc528169483"/>
      <w:bookmarkEnd w:id="208"/>
      <w:bookmarkStart w:id="209" w:name="_Toc528169492"/>
      <w:bookmarkEnd w:id="209"/>
      <w:bookmarkStart w:id="210" w:name="_Toc528169923"/>
      <w:bookmarkEnd w:id="210"/>
      <w:bookmarkStart w:id="211" w:name="_Toc528169874"/>
      <w:bookmarkEnd w:id="211"/>
      <w:bookmarkStart w:id="212" w:name="_Toc528169887"/>
      <w:bookmarkEnd w:id="212"/>
      <w:bookmarkStart w:id="213" w:name="_Toc528169893"/>
      <w:bookmarkEnd w:id="213"/>
      <w:bookmarkStart w:id="214" w:name="_Toc528169484"/>
      <w:bookmarkEnd w:id="214"/>
      <w:bookmarkStart w:id="215" w:name="_Toc528169517"/>
      <w:bookmarkEnd w:id="215"/>
      <w:bookmarkStart w:id="216" w:name="_Toc528169488"/>
      <w:bookmarkEnd w:id="216"/>
      <w:bookmarkStart w:id="217" w:name="_Toc528169914"/>
      <w:bookmarkEnd w:id="217"/>
      <w:bookmarkStart w:id="218" w:name="_Toc528169496"/>
      <w:bookmarkEnd w:id="218"/>
      <w:bookmarkStart w:id="219" w:name="_Toc528169880"/>
      <w:bookmarkEnd w:id="219"/>
      <w:bookmarkStart w:id="220" w:name="_Toc528169869"/>
      <w:bookmarkEnd w:id="220"/>
      <w:bookmarkStart w:id="221" w:name="_Toc528169868"/>
      <w:bookmarkEnd w:id="221"/>
      <w:bookmarkStart w:id="222" w:name="_Toc528169487"/>
      <w:bookmarkEnd w:id="222"/>
      <w:bookmarkStart w:id="223" w:name="_Toc528169494"/>
      <w:bookmarkEnd w:id="223"/>
      <w:bookmarkStart w:id="224" w:name="_Toc528169508"/>
      <w:bookmarkEnd w:id="224"/>
      <w:bookmarkStart w:id="225" w:name="_Toc528169882"/>
      <w:bookmarkEnd w:id="225"/>
      <w:bookmarkStart w:id="226" w:name="_Toc528169873"/>
      <w:bookmarkEnd w:id="226"/>
      <w:bookmarkStart w:id="227" w:name="_Toc528169884"/>
      <w:bookmarkEnd w:id="227"/>
      <w:bookmarkStart w:id="228" w:name="_Toc528169499"/>
      <w:bookmarkEnd w:id="228"/>
      <w:bookmarkStart w:id="229" w:name="_Toc528169526"/>
      <w:bookmarkEnd w:id="229"/>
      <w:bookmarkStart w:id="230" w:name="_Toc528169515"/>
      <w:bookmarkEnd w:id="230"/>
      <w:bookmarkStart w:id="231" w:name="_Toc528169523"/>
      <w:bookmarkEnd w:id="231"/>
      <w:bookmarkStart w:id="232" w:name="_Toc528169912"/>
      <w:bookmarkEnd w:id="232"/>
      <w:bookmarkStart w:id="233" w:name="_Toc528169520"/>
      <w:bookmarkEnd w:id="233"/>
      <w:bookmarkStart w:id="234" w:name="_Toc528169896"/>
      <w:bookmarkEnd w:id="234"/>
      <w:bookmarkStart w:id="235" w:name="_Toc528169516"/>
      <w:bookmarkEnd w:id="235"/>
      <w:bookmarkStart w:id="236" w:name="_Toc528169527"/>
      <w:bookmarkEnd w:id="236"/>
      <w:bookmarkStart w:id="237" w:name="_Toc528169916"/>
      <w:bookmarkEnd w:id="237"/>
      <w:bookmarkStart w:id="238" w:name="_Toc528169925"/>
      <w:bookmarkEnd w:id="238"/>
      <w:bookmarkStart w:id="239" w:name="_Toc528169911"/>
      <w:bookmarkEnd w:id="239"/>
      <w:bookmarkStart w:id="240" w:name="_Toc528169920"/>
      <w:bookmarkEnd w:id="240"/>
      <w:bookmarkStart w:id="241" w:name="_Toc528169904"/>
      <w:bookmarkEnd w:id="241"/>
      <w:bookmarkStart w:id="242" w:name="_Toc528169906"/>
      <w:bookmarkEnd w:id="242"/>
      <w:bookmarkStart w:id="243" w:name="_Toc528169519"/>
      <w:bookmarkEnd w:id="243"/>
      <w:bookmarkStart w:id="244" w:name="_Toc528169909"/>
      <w:bookmarkEnd w:id="244"/>
      <w:bookmarkStart w:id="245" w:name="_Toc528169530"/>
      <w:bookmarkEnd w:id="245"/>
      <w:bookmarkStart w:id="246" w:name="_Toc528169507"/>
      <w:bookmarkEnd w:id="246"/>
      <w:bookmarkStart w:id="247" w:name="_Toc528169908"/>
      <w:bookmarkEnd w:id="247"/>
      <w:bookmarkStart w:id="248" w:name="_Toc528169502"/>
      <w:bookmarkEnd w:id="248"/>
      <w:bookmarkStart w:id="249" w:name="_Toc528169907"/>
      <w:bookmarkEnd w:id="249"/>
      <w:bookmarkStart w:id="250" w:name="_Toc528169509"/>
      <w:bookmarkEnd w:id="250"/>
      <w:bookmarkStart w:id="251" w:name="_Toc528169522"/>
      <w:bookmarkEnd w:id="251"/>
      <w:bookmarkStart w:id="252" w:name="_Toc528169913"/>
      <w:bookmarkEnd w:id="252"/>
      <w:bookmarkStart w:id="253" w:name="_Toc528169924"/>
      <w:bookmarkEnd w:id="253"/>
      <w:bookmarkStart w:id="254" w:name="_Toc528169506"/>
      <w:bookmarkEnd w:id="254"/>
      <w:bookmarkStart w:id="255" w:name="_Toc528169897"/>
      <w:bookmarkEnd w:id="255"/>
      <w:bookmarkStart w:id="256" w:name="_Toc528169903"/>
      <w:bookmarkEnd w:id="256"/>
      <w:bookmarkStart w:id="257" w:name="_Toc528169905"/>
      <w:bookmarkEnd w:id="257"/>
      <w:bookmarkStart w:id="258" w:name="_Toc528169524"/>
      <w:bookmarkEnd w:id="258"/>
      <w:bookmarkStart w:id="259" w:name="_Toc528169528"/>
      <w:bookmarkEnd w:id="259"/>
      <w:bookmarkStart w:id="260" w:name="_Toc528169512"/>
      <w:bookmarkEnd w:id="260"/>
      <w:bookmarkStart w:id="261" w:name="_Toc528169504"/>
      <w:bookmarkEnd w:id="261"/>
      <w:bookmarkStart w:id="262" w:name="_Toc528169902"/>
      <w:bookmarkEnd w:id="262"/>
      <w:bookmarkStart w:id="263" w:name="_Toc528169510"/>
      <w:bookmarkEnd w:id="263"/>
      <w:bookmarkStart w:id="264" w:name="_Toc528169900"/>
      <w:bookmarkEnd w:id="264"/>
      <w:bookmarkStart w:id="265" w:name="_Toc528169910"/>
      <w:bookmarkEnd w:id="265"/>
      <w:bookmarkStart w:id="266" w:name="_Toc528169513"/>
      <w:bookmarkEnd w:id="266"/>
      <w:bookmarkStart w:id="267" w:name="_Toc528169505"/>
      <w:bookmarkEnd w:id="267"/>
      <w:bookmarkStart w:id="268" w:name="_Toc528169922"/>
      <w:bookmarkEnd w:id="268"/>
      <w:bookmarkStart w:id="269" w:name="_Toc528169486"/>
      <w:bookmarkEnd w:id="269"/>
      <w:bookmarkStart w:id="270" w:name="_Toc528169489"/>
      <w:bookmarkEnd w:id="270"/>
      <w:bookmarkStart w:id="271" w:name="_Toc528169870"/>
      <w:bookmarkEnd w:id="271"/>
      <w:bookmarkStart w:id="272" w:name="_Toc528169514"/>
      <w:bookmarkEnd w:id="272"/>
      <w:bookmarkStart w:id="273" w:name="_Toc528169497"/>
      <w:bookmarkEnd w:id="273"/>
      <w:bookmarkStart w:id="274" w:name="_Toc528169899"/>
      <w:bookmarkEnd w:id="274"/>
      <w:bookmarkStart w:id="275" w:name="_Toc528169871"/>
      <w:bookmarkEnd w:id="275"/>
      <w:bookmarkStart w:id="276" w:name="_Toc528169921"/>
      <w:bookmarkEnd w:id="276"/>
      <w:bookmarkStart w:id="277" w:name="_Toc528169872"/>
      <w:bookmarkEnd w:id="277"/>
      <w:bookmarkStart w:id="278" w:name="_Toc528169518"/>
      <w:bookmarkEnd w:id="278"/>
      <w:bookmarkStart w:id="279" w:name="_Toc528169477"/>
      <w:bookmarkEnd w:id="279"/>
      <w:bookmarkStart w:id="280" w:name="_Toc528169917"/>
      <w:bookmarkEnd w:id="280"/>
      <w:r>
        <w:rPr>
          <w:rFonts w:hint="eastAsia"/>
        </w:rPr>
        <w:t>数据</w:t>
      </w:r>
      <w:r>
        <w:rPr>
          <w:rFonts w:hint="eastAsia" w:hAnsi="宋体"/>
        </w:rPr>
        <w:t>中心应按照</w:t>
      </w:r>
      <w:r>
        <w:rPr>
          <w:rFonts w:hAnsi="宋体"/>
        </w:rPr>
        <w:t>YD/T 2543-2013</w:t>
      </w:r>
      <w:r>
        <w:rPr>
          <w:rFonts w:hint="eastAsia" w:hAnsi="宋体"/>
        </w:rPr>
        <w:t>中5</w:t>
      </w:r>
      <w:r>
        <w:rPr>
          <w:rFonts w:hAnsi="宋体"/>
        </w:rPr>
        <w:t>.4</w:t>
      </w:r>
      <w:r>
        <w:rPr>
          <w:rFonts w:hint="eastAsia" w:hAnsi="宋体"/>
        </w:rPr>
        <w:t>的要求选择能耗测量装置，且信息设备、空调系统、供配电系统和照明系统等各系统能耗应进行独立分项计量；</w:t>
      </w:r>
    </w:p>
    <w:p>
      <w:pPr>
        <w:pStyle w:val="240"/>
        <w:numPr>
          <w:ilvl w:val="0"/>
          <w:numId w:val="33"/>
        </w:numPr>
        <w:rPr>
          <w:rFonts w:hAnsi="宋体"/>
        </w:rPr>
      </w:pPr>
      <w:r>
        <w:rPr>
          <w:rFonts w:hint="eastAsia" w:hAnsi="宋体"/>
        </w:rPr>
        <w:t>数据中心应按照</w:t>
      </w:r>
      <w:r>
        <w:rPr>
          <w:rFonts w:hAnsi="宋体"/>
        </w:rPr>
        <w:t>YD/T 2543-2013</w:t>
      </w:r>
      <w:r>
        <w:rPr>
          <w:rFonts w:hint="eastAsia" w:hAnsi="宋体"/>
        </w:rPr>
        <w:t>中5</w:t>
      </w:r>
      <w:r>
        <w:rPr>
          <w:rFonts w:hAnsi="宋体"/>
        </w:rPr>
        <w:t>.2</w:t>
      </w:r>
      <w:r>
        <w:rPr>
          <w:rFonts w:hint="eastAsia" w:hAnsi="宋体"/>
        </w:rPr>
        <w:t>的要求设置能耗测量点；</w:t>
      </w:r>
    </w:p>
    <w:p>
      <w:pPr>
        <w:pStyle w:val="240"/>
        <w:numPr>
          <w:ilvl w:val="0"/>
          <w:numId w:val="33"/>
        </w:numPr>
        <w:rPr>
          <w:rFonts w:hAnsi="宋体"/>
        </w:rPr>
      </w:pPr>
      <w:r>
        <w:rPr>
          <w:rFonts w:hint="eastAsia" w:hAnsi="宋体"/>
        </w:rPr>
        <w:t>数据中心能耗指标的测量周期应符合</w:t>
      </w:r>
      <w:r>
        <w:rPr>
          <w:rFonts w:hAnsi="宋体"/>
        </w:rPr>
        <w:t>YD/T 2543-2013</w:t>
      </w:r>
      <w:r>
        <w:rPr>
          <w:rFonts w:hint="eastAsia" w:hAnsi="宋体"/>
        </w:rPr>
        <w:t>中5</w:t>
      </w:r>
      <w:r>
        <w:rPr>
          <w:rFonts w:hAnsi="宋体"/>
        </w:rPr>
        <w:t>.3</w:t>
      </w:r>
      <w:r>
        <w:rPr>
          <w:rFonts w:hint="eastAsia" w:hAnsi="宋体"/>
        </w:rPr>
        <w:t>的要求；</w:t>
      </w:r>
    </w:p>
    <w:p>
      <w:pPr>
        <w:pStyle w:val="240"/>
        <w:numPr>
          <w:ilvl w:val="0"/>
          <w:numId w:val="33"/>
        </w:numPr>
        <w:rPr>
          <w:rFonts w:hAnsi="宋体"/>
        </w:rPr>
      </w:pPr>
      <w:r>
        <w:rPr>
          <w:rFonts w:hint="eastAsia" w:hAnsi="宋体"/>
        </w:rPr>
        <w:t>数据中心电能使用效率（P</w:t>
      </w:r>
      <w:r>
        <w:rPr>
          <w:rFonts w:hAnsi="宋体"/>
        </w:rPr>
        <w:t>UE</w:t>
      </w:r>
      <w:r>
        <w:rPr>
          <w:rFonts w:hint="eastAsia" w:hAnsi="宋体"/>
        </w:rPr>
        <w:t>）指标数值的发布和披露应符合YD/T</w:t>
      </w:r>
      <w:r>
        <w:rPr>
          <w:rFonts w:hAnsi="宋体"/>
        </w:rPr>
        <w:t xml:space="preserve"> </w:t>
      </w:r>
      <w:r>
        <w:rPr>
          <w:rFonts w:hint="eastAsia" w:hAnsi="宋体"/>
        </w:rPr>
        <w:t>2543-2013中6的要求；</w:t>
      </w:r>
    </w:p>
    <w:p>
      <w:pPr>
        <w:pStyle w:val="240"/>
        <w:numPr>
          <w:ilvl w:val="0"/>
          <w:numId w:val="33"/>
        </w:numPr>
        <w:rPr>
          <w:rFonts w:ascii="Times New Roman"/>
        </w:rPr>
      </w:pPr>
      <w:r>
        <w:rPr>
          <w:rFonts w:hint="eastAsia" w:hAnsi="宋体"/>
        </w:rPr>
        <w:t>数据中心电能使用效率（P</w:t>
      </w:r>
      <w:r>
        <w:rPr>
          <w:rFonts w:hAnsi="宋体"/>
        </w:rPr>
        <w:t>UE</w:t>
      </w:r>
      <w:r>
        <w:rPr>
          <w:rFonts w:hint="eastAsia" w:hAnsi="宋体"/>
        </w:rPr>
        <w:t>）指标应符合表1中规定的要求。</w:t>
      </w:r>
      <w:r>
        <w:rPr>
          <w:rFonts w:hint="eastAsia" w:ascii="Times New Roman"/>
        </w:rPr>
        <w:t xml:space="preserve"> </w:t>
      </w:r>
    </w:p>
    <w:p>
      <w:pPr>
        <w:pStyle w:val="242"/>
        <w:spacing w:before="156" w:after="156"/>
      </w:pPr>
    </w:p>
    <w:p>
      <w:pPr>
        <w:pStyle w:val="242"/>
        <w:spacing w:before="156" w:after="156"/>
      </w:pPr>
    </w:p>
    <w:p>
      <w:pPr>
        <w:pStyle w:val="242"/>
        <w:spacing w:before="156" w:after="156"/>
      </w:pPr>
      <w:r>
        <w:rPr>
          <w:rFonts w:hint="eastAsia"/>
        </w:rPr>
        <w:t>表1</w:t>
      </w:r>
      <w:r>
        <w:t xml:space="preserve"> </w:t>
      </w:r>
      <w:r>
        <w:rPr>
          <w:rFonts w:hint="eastAsia"/>
        </w:rPr>
        <w:t>绿色数据中心P</w:t>
      </w:r>
      <w:r>
        <w:t>UE</w:t>
      </w:r>
      <w:r>
        <w:rPr>
          <w:rFonts w:hint="eastAsia"/>
        </w:rPr>
        <w:t>指标要求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578" w:type="dxa"/>
            <w:vAlign w:val="center"/>
          </w:tcPr>
          <w:p>
            <w:pPr>
              <w:pStyle w:val="231"/>
              <w:ind w:firstLine="360"/>
              <w:jc w:val="center"/>
              <w:rPr>
                <w:rFonts w:ascii="宋体"/>
                <w:sz w:val="18"/>
                <w:szCs w:val="16"/>
              </w:rPr>
            </w:pPr>
            <w:r>
              <w:rPr>
                <w:rFonts w:hint="eastAsia"/>
                <w:sz w:val="18"/>
                <w:szCs w:val="16"/>
              </w:rPr>
              <w:t>边缘数据中心</w:t>
            </w:r>
          </w:p>
        </w:tc>
        <w:tc>
          <w:tcPr>
            <w:tcW w:w="3859" w:type="dxa"/>
            <w:vAlign w:val="center"/>
          </w:tcPr>
          <w:p>
            <w:pPr>
              <w:pStyle w:val="231"/>
              <w:ind w:firstLine="360"/>
              <w:jc w:val="center"/>
              <w:rPr>
                <w:rFonts w:ascii="宋体"/>
                <w:sz w:val="18"/>
                <w:szCs w:val="16"/>
              </w:rPr>
            </w:pPr>
            <w:r>
              <w:rPr>
                <w:rFonts w:hint="eastAsia"/>
                <w:sz w:val="18"/>
                <w:szCs w:val="16"/>
              </w:rPr>
              <w:t>其他数据中心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78" w:type="dxa"/>
            <w:vAlign w:val="center"/>
          </w:tcPr>
          <w:p>
            <w:pPr>
              <w:pStyle w:val="231"/>
              <w:ind w:firstLine="360"/>
              <w:jc w:val="center"/>
              <w:rPr>
                <w:rFonts w:ascii="宋体"/>
                <w:sz w:val="18"/>
                <w:szCs w:val="16"/>
              </w:rPr>
            </w:pPr>
            <w:r>
              <w:rPr>
                <w:rFonts w:hint="eastAsia"/>
                <w:sz w:val="18"/>
                <w:szCs w:val="16"/>
              </w:rPr>
              <w:t>≤1</w:t>
            </w:r>
            <w:r>
              <w:rPr>
                <w:sz w:val="18"/>
                <w:szCs w:val="16"/>
              </w:rPr>
              <w:t>.6</w:t>
            </w:r>
          </w:p>
        </w:tc>
        <w:tc>
          <w:tcPr>
            <w:tcW w:w="3859" w:type="dxa"/>
            <w:vAlign w:val="center"/>
          </w:tcPr>
          <w:p>
            <w:pPr>
              <w:pStyle w:val="231"/>
              <w:ind w:firstLine="360"/>
              <w:jc w:val="center"/>
              <w:rPr>
                <w:rFonts w:ascii="宋体"/>
                <w:sz w:val="18"/>
                <w:szCs w:val="16"/>
              </w:rPr>
            </w:pPr>
            <w:r>
              <w:rPr>
                <w:rFonts w:hint="eastAsia"/>
                <w:sz w:val="18"/>
                <w:szCs w:val="16"/>
              </w:rPr>
              <w:t>≤1</w:t>
            </w:r>
            <w:r>
              <w:rPr>
                <w:sz w:val="18"/>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37" w:type="dxa"/>
            <w:gridSpan w:val="2"/>
            <w:vAlign w:val="bottom"/>
          </w:tcPr>
          <w:p>
            <w:pPr>
              <w:pStyle w:val="231"/>
              <w:ind w:firstLine="360"/>
              <w:rPr>
                <w:rFonts w:ascii="黑体" w:hAnsi="黑体" w:eastAsia="黑体"/>
                <w:sz w:val="18"/>
                <w:szCs w:val="16"/>
              </w:rPr>
            </w:pPr>
            <w:r>
              <w:rPr>
                <w:rFonts w:hint="eastAsia" w:ascii="黑体" w:hAnsi="黑体" w:eastAsia="黑体"/>
                <w:sz w:val="18"/>
                <w:szCs w:val="16"/>
              </w:rPr>
              <w:t>注：</w:t>
            </w:r>
          </w:p>
          <w:p>
            <w:pPr>
              <w:pStyle w:val="231"/>
              <w:numPr>
                <w:ilvl w:val="0"/>
                <w:numId w:val="34"/>
              </w:numPr>
              <w:tabs>
                <w:tab w:val="clear" w:pos="4201"/>
                <w:tab w:val="clear" w:pos="9298"/>
              </w:tabs>
              <w:ind w:firstLineChars="0"/>
              <w:rPr>
                <w:rFonts w:ascii="黑体" w:hAnsi="黑体" w:eastAsia="黑体"/>
                <w:sz w:val="18"/>
                <w:szCs w:val="16"/>
              </w:rPr>
            </w:pPr>
            <w:r>
              <w:rPr>
                <w:rFonts w:hint="eastAsia" w:ascii="黑体" w:hAnsi="黑体" w:eastAsia="黑体"/>
                <w:sz w:val="18"/>
                <w:szCs w:val="16"/>
              </w:rPr>
              <w:t>边缘数据中心指机架数不超过1</w:t>
            </w:r>
            <w:r>
              <w:rPr>
                <w:rFonts w:ascii="黑体" w:hAnsi="黑体" w:eastAsia="黑体"/>
                <w:sz w:val="18"/>
                <w:szCs w:val="16"/>
              </w:rPr>
              <w:t>00</w:t>
            </w:r>
            <w:r>
              <w:rPr>
                <w:rFonts w:hint="eastAsia" w:ascii="黑体" w:hAnsi="黑体" w:eastAsia="黑体"/>
                <w:sz w:val="18"/>
                <w:szCs w:val="16"/>
              </w:rPr>
              <w:t>架、用于提供边缘计算服务的数据中心；</w:t>
            </w:r>
          </w:p>
          <w:p>
            <w:pPr>
              <w:pStyle w:val="231"/>
              <w:numPr>
                <w:ilvl w:val="0"/>
                <w:numId w:val="34"/>
              </w:numPr>
              <w:tabs>
                <w:tab w:val="clear" w:pos="4201"/>
                <w:tab w:val="clear" w:pos="9298"/>
              </w:tabs>
              <w:ind w:firstLineChars="0"/>
              <w:rPr>
                <w:sz w:val="18"/>
                <w:szCs w:val="16"/>
              </w:rPr>
            </w:pPr>
            <w:r>
              <w:rPr>
                <w:rFonts w:hint="eastAsia" w:ascii="黑体" w:hAnsi="黑体" w:eastAsia="黑体"/>
                <w:sz w:val="18"/>
                <w:szCs w:val="16"/>
              </w:rPr>
              <w:t>其他数据中心指除边缘数据中心外的其他数据中心，包括中小型数据中心、大型数据中心及超大型数据中心。</w:t>
            </w:r>
          </w:p>
        </w:tc>
      </w:tr>
    </w:tbl>
    <w:p>
      <w:pPr>
        <w:pStyle w:val="237"/>
        <w:spacing w:before="156" w:after="156"/>
      </w:pPr>
      <w:r>
        <w:rPr>
          <w:rFonts w:hint="eastAsia"/>
        </w:rPr>
        <w:t>4</w:t>
      </w:r>
      <w:r>
        <w:t xml:space="preserve">.2.2 </w:t>
      </w:r>
      <w:r>
        <w:rPr>
          <w:rFonts w:hint="eastAsia"/>
        </w:rPr>
        <w:t>能源管理制度</w:t>
      </w:r>
    </w:p>
    <w:p>
      <w:pPr>
        <w:pStyle w:val="231"/>
        <w:rPr>
          <w:rFonts w:eastAsiaTheme="majorEastAsia"/>
        </w:rPr>
      </w:pPr>
      <w:r>
        <w:rPr>
          <w:rFonts w:hint="eastAsia"/>
        </w:rPr>
        <w:t>能源管理制度是指数据中心在运行过程中针对能源管理制定的管理制度和运维措施。能源管理制度至少包括：能源统计和分析、运行管理、宣传和培训三方面内容。数据中心宜按照</w:t>
      </w:r>
      <w:r>
        <w:rPr>
          <w:rFonts w:ascii="宋体"/>
        </w:rPr>
        <w:t>GB/T 23331</w:t>
      </w:r>
      <w:r>
        <w:rPr>
          <w:rFonts w:hint="eastAsia"/>
        </w:rPr>
        <w:t>的要求建立和保持一个全面的能源管理体系。</w:t>
      </w:r>
    </w:p>
    <w:p>
      <w:pPr>
        <w:pStyle w:val="240"/>
      </w:pPr>
      <w:r>
        <w:rPr>
          <w:rFonts w:hint="eastAsia"/>
        </w:rPr>
        <w:t>能源统计和分析</w:t>
      </w:r>
    </w:p>
    <w:p>
      <w:pPr>
        <w:pStyle w:val="239"/>
        <w:numPr>
          <w:ilvl w:val="0"/>
          <w:numId w:val="0"/>
        </w:numPr>
        <w:ind w:left="840"/>
      </w:pPr>
      <w:r>
        <w:rPr>
          <w:rFonts w:hint="eastAsia"/>
        </w:rPr>
        <w:t>——数据中心应对电能使用进行分项计量，满足GB/T 32910.3-2016中规定的要求；</w:t>
      </w:r>
    </w:p>
    <w:p>
      <w:pPr>
        <w:pStyle w:val="239"/>
        <w:numPr>
          <w:ilvl w:val="0"/>
          <w:numId w:val="0"/>
        </w:numPr>
        <w:ind w:left="840"/>
      </w:pPr>
      <w:r>
        <w:rPr>
          <w:rFonts w:hint="eastAsia"/>
        </w:rPr>
        <w:t>——数据中心应制定能源资源消费统计制度，应具有明确的责任人和实施方案，并按要求向主管部门报送数据；</w:t>
      </w:r>
    </w:p>
    <w:p>
      <w:pPr>
        <w:pStyle w:val="239"/>
        <w:numPr>
          <w:ilvl w:val="0"/>
          <w:numId w:val="0"/>
        </w:numPr>
        <w:ind w:left="840"/>
      </w:pPr>
      <w:r>
        <w:rPr>
          <w:rFonts w:hint="eastAsia"/>
        </w:rPr>
        <w:t>——数据中心应能够对冷、电、水、油等能源指标进行监测分析，发现节能潜力，提出优化能源管理的建议和改进措施，并形成报告；</w:t>
      </w:r>
    </w:p>
    <w:p>
      <w:pPr>
        <w:pStyle w:val="239"/>
        <w:numPr>
          <w:ilvl w:val="0"/>
          <w:numId w:val="0"/>
        </w:numPr>
        <w:ind w:left="840"/>
      </w:pPr>
      <w:r>
        <w:rPr>
          <w:rFonts w:hint="eastAsia"/>
        </w:rPr>
        <w:t>——数据中心应定期公示能耗情况。</w:t>
      </w:r>
    </w:p>
    <w:p>
      <w:pPr>
        <w:pStyle w:val="240"/>
        <w:rPr>
          <w:rFonts w:ascii="Times New Roman"/>
        </w:rPr>
      </w:pPr>
      <w:r>
        <w:rPr>
          <w:rFonts w:hint="eastAsia" w:ascii="Times New Roman"/>
        </w:rPr>
        <w:t>运行管理</w:t>
      </w:r>
    </w:p>
    <w:p>
      <w:pPr>
        <w:pStyle w:val="239"/>
        <w:numPr>
          <w:ilvl w:val="0"/>
          <w:numId w:val="0"/>
        </w:numPr>
        <w:ind w:left="840"/>
      </w:pPr>
      <w:r>
        <w:rPr>
          <w:rFonts w:hint="eastAsia"/>
        </w:rPr>
        <w:t>——数据中心应采用数字化运维手段，对重点用能设备的运行情况和能耗情况进行实时监控；</w:t>
      </w:r>
    </w:p>
    <w:p>
      <w:pPr>
        <w:pStyle w:val="239"/>
        <w:numPr>
          <w:ilvl w:val="0"/>
          <w:numId w:val="0"/>
        </w:numPr>
        <w:ind w:left="840"/>
      </w:pPr>
      <w:r>
        <w:rPr>
          <w:rFonts w:hint="eastAsia"/>
        </w:rPr>
        <w:t>——数据中心应保持完整的巡视检查、维护保养记录；</w:t>
      </w:r>
    </w:p>
    <w:p>
      <w:pPr>
        <w:pStyle w:val="239"/>
        <w:numPr>
          <w:ilvl w:val="0"/>
          <w:numId w:val="0"/>
        </w:numPr>
        <w:ind w:left="840"/>
      </w:pPr>
      <w:r>
        <w:rPr>
          <w:rFonts w:hint="eastAsia"/>
        </w:rPr>
        <w:t>——数据中心应针对季节、能耗及其他影响因素的变化，结合设备系统运行特点，定期优化调整运行方式，形成方案并落实；</w:t>
      </w:r>
    </w:p>
    <w:p>
      <w:pPr>
        <w:pStyle w:val="239"/>
        <w:numPr>
          <w:ilvl w:val="0"/>
          <w:numId w:val="0"/>
        </w:numPr>
        <w:ind w:left="840"/>
      </w:pPr>
      <w:r>
        <w:rPr>
          <w:rFonts w:hint="eastAsia"/>
        </w:rPr>
        <w:t>——数据中心应具有节能管理和技术团队，并具有明确的节能策略和节能工作目标责任制度。</w:t>
      </w:r>
    </w:p>
    <w:p>
      <w:pPr>
        <w:pStyle w:val="240"/>
        <w:rPr>
          <w:rFonts w:ascii="Times New Roman"/>
        </w:rPr>
      </w:pPr>
      <w:r>
        <w:rPr>
          <w:rFonts w:hint="eastAsia" w:ascii="Times New Roman"/>
        </w:rPr>
        <w:t>宣传和培训</w:t>
      </w:r>
    </w:p>
    <w:p>
      <w:pPr>
        <w:pStyle w:val="239"/>
        <w:numPr>
          <w:ilvl w:val="0"/>
          <w:numId w:val="0"/>
        </w:numPr>
        <w:ind w:left="840"/>
      </w:pPr>
      <w:r>
        <w:rPr>
          <w:rFonts w:hint="eastAsia"/>
        </w:rPr>
        <w:t>——数据中心应定期进行节能理念宣传；</w:t>
      </w:r>
    </w:p>
    <w:p>
      <w:pPr>
        <w:pStyle w:val="239"/>
        <w:numPr>
          <w:ilvl w:val="0"/>
          <w:numId w:val="0"/>
        </w:numPr>
        <w:ind w:left="840"/>
      </w:pPr>
      <w:r>
        <w:rPr>
          <w:rFonts w:hint="eastAsia"/>
        </w:rPr>
        <w:t>——数据中心应定期进行节能技术培训。</w:t>
      </w:r>
    </w:p>
    <w:p>
      <w:pPr>
        <w:pStyle w:val="237"/>
        <w:spacing w:before="156" w:after="156"/>
      </w:pPr>
      <w:r>
        <w:rPr>
          <w:rFonts w:hint="eastAsia"/>
        </w:rPr>
        <w:t>4</w:t>
      </w:r>
      <w:r>
        <w:t xml:space="preserve">.2.3 </w:t>
      </w:r>
      <w:r>
        <w:rPr>
          <w:rFonts w:hint="eastAsia"/>
        </w:rPr>
        <w:t>节能技术应用</w:t>
      </w:r>
    </w:p>
    <w:p>
      <w:pPr>
        <w:pStyle w:val="231"/>
      </w:pPr>
      <w:r>
        <w:rPr>
          <w:rFonts w:hint="eastAsia"/>
        </w:rPr>
        <w:t>数据中心宜采用先进绿色节能技术产品及工信部发布的《绿色数据中心先进适用技术产品目录》相关技术产品。</w:t>
      </w:r>
    </w:p>
    <w:p>
      <w:pPr>
        <w:pStyle w:val="240"/>
        <w:numPr>
          <w:ilvl w:val="0"/>
          <w:numId w:val="35"/>
        </w:numPr>
        <w:rPr>
          <w:rFonts w:hAnsi="宋体"/>
        </w:rPr>
      </w:pPr>
      <w:r>
        <w:rPr>
          <w:rFonts w:hint="eastAsia" w:ascii="Times New Roman"/>
        </w:rPr>
        <w:t>制冷系统：</w:t>
      </w:r>
      <w:r>
        <w:rPr>
          <w:rFonts w:hint="eastAsia"/>
        </w:rPr>
        <w:t>宜采用自然冷源、液冷、蒸发冷却、削峰填谷蓄冷、环保工质、人工智能冷机群控等先进制冷技术，选用高效机房空调，变频空调等制冷设备；空间布局宜采用近端制冷的方式，减少冷量浪费；制冷系统的气流组织应合理、</w:t>
      </w:r>
      <w:r>
        <w:rPr>
          <w:rFonts w:hint="eastAsia" w:hAnsi="宋体"/>
        </w:rPr>
        <w:t>流畅，宜采用冷热隔离等措施，防止气流短路。</w:t>
      </w:r>
    </w:p>
    <w:p>
      <w:pPr>
        <w:pStyle w:val="240"/>
        <w:numPr>
          <w:ilvl w:val="0"/>
          <w:numId w:val="35"/>
        </w:numPr>
        <w:rPr>
          <w:rFonts w:hAnsi="宋体"/>
        </w:rPr>
      </w:pPr>
      <w:r>
        <w:rPr>
          <w:rFonts w:hint="eastAsia" w:hAnsi="宋体"/>
        </w:rPr>
        <w:t>供配电系统：宜采用高效电能转换设备（如高效U</w:t>
      </w:r>
      <w:r>
        <w:rPr>
          <w:rFonts w:hAnsi="宋体"/>
        </w:rPr>
        <w:t>PS</w:t>
      </w:r>
      <w:r>
        <w:rPr>
          <w:rFonts w:hint="eastAsia" w:hAnsi="宋体"/>
        </w:rPr>
        <w:t>、高效开关电源等）；供配电设备容量配置应与机房容量相匹配，电源设备的平均负荷率应不低于</w:t>
      </w:r>
      <w:r>
        <w:rPr>
          <w:rFonts w:hAnsi="宋体"/>
        </w:rPr>
        <w:t>45%</w:t>
      </w:r>
      <w:r>
        <w:rPr>
          <w:rFonts w:hint="eastAsia" w:hAnsi="宋体"/>
        </w:rPr>
        <w:t>。</w:t>
      </w:r>
    </w:p>
    <w:p>
      <w:pPr>
        <w:pStyle w:val="240"/>
        <w:numPr>
          <w:ilvl w:val="0"/>
          <w:numId w:val="35"/>
        </w:numPr>
        <w:rPr>
          <w:rFonts w:ascii="Times New Roman"/>
        </w:rPr>
      </w:pPr>
      <w:r>
        <w:rPr>
          <w:rFonts w:hint="eastAsia" w:hAnsi="宋体"/>
        </w:rPr>
        <w:t>信息系统：应针对不同业务类型的信息设备采用相应的节能技术和产品；用于数据存储功能的机柜功率比例宜不高于机柜总功率的20%；数据中心自用的信息系统（如运维系统、办公管理系统等）应满足本项要求；对由内部相关方（如独立的IT部门）或外部相关方（如客户、运营商）控制的信息系统，应对相关方的信息系统满足本项要求施</w:t>
      </w:r>
      <w:r>
        <w:rPr>
          <w:rFonts w:hint="eastAsia" w:ascii="Times New Roman"/>
        </w:rPr>
        <w:t>加影响。</w:t>
      </w:r>
    </w:p>
    <w:p>
      <w:pPr>
        <w:pStyle w:val="240"/>
        <w:numPr>
          <w:ilvl w:val="0"/>
          <w:numId w:val="35"/>
        </w:numPr>
        <w:rPr>
          <w:rFonts w:ascii="Times New Roman"/>
        </w:rPr>
      </w:pPr>
      <w:r>
        <w:rPr>
          <w:rFonts w:hint="eastAsia" w:ascii="Times New Roman"/>
        </w:rPr>
        <w:t>照明系统：宜选择节能光源并进行智能控制。</w:t>
      </w:r>
    </w:p>
    <w:p>
      <w:pPr>
        <w:pStyle w:val="240"/>
        <w:numPr>
          <w:ilvl w:val="0"/>
          <w:numId w:val="35"/>
        </w:numPr>
        <w:rPr>
          <w:rFonts w:ascii="Times New Roman"/>
        </w:rPr>
      </w:pPr>
      <w:r>
        <w:rPr>
          <w:rFonts w:hint="eastAsia" w:ascii="Times New Roman"/>
        </w:rPr>
        <w:t>围护系统：宜选择合适的机房朝向、做好机房保温、避免设置机房外窗等。</w:t>
      </w:r>
    </w:p>
    <w:p>
      <w:pPr>
        <w:pStyle w:val="237"/>
        <w:spacing w:before="156" w:after="156"/>
      </w:pPr>
      <w:r>
        <w:rPr>
          <w:rFonts w:hint="eastAsia"/>
        </w:rPr>
        <w:t>4.</w:t>
      </w:r>
      <w:r>
        <w:t>2</w:t>
      </w:r>
      <w:r>
        <w:rPr>
          <w:rFonts w:hint="eastAsia"/>
        </w:rPr>
        <w:t>.</w:t>
      </w:r>
      <w:r>
        <w:t xml:space="preserve">4 </w:t>
      </w:r>
      <w:r>
        <w:rPr>
          <w:rFonts w:hint="eastAsia"/>
        </w:rPr>
        <w:t>清洁能源与可再生能源利用</w:t>
      </w:r>
    </w:p>
    <w:p>
      <w:pPr>
        <w:pStyle w:val="231"/>
      </w:pPr>
      <w:r>
        <w:rPr>
          <w:rFonts w:hint="eastAsia"/>
        </w:rPr>
        <w:t>数据中心宜识别不同场景，在自有场所建立清洁能源和可再生能源利用系统，或通过与售电公司开展绿色电力交易等方式提升可再生能源应用比例。</w:t>
      </w:r>
    </w:p>
    <w:p>
      <w:pPr>
        <w:pStyle w:val="235"/>
        <w:spacing w:before="156" w:after="156"/>
      </w:pPr>
      <w:bookmarkStart w:id="281" w:name="_Toc104477833"/>
      <w:r>
        <w:rPr>
          <w:rFonts w:hint="eastAsia"/>
        </w:rPr>
        <w:t>4</w:t>
      </w:r>
      <w:r>
        <w:t>.3</w:t>
      </w:r>
      <w:r>
        <w:rPr>
          <w:rFonts w:hint="eastAsia"/>
        </w:rPr>
        <w:t>资源使用评价方法</w:t>
      </w:r>
      <w:bookmarkEnd w:id="281"/>
    </w:p>
    <w:p>
      <w:pPr>
        <w:pStyle w:val="237"/>
        <w:spacing w:before="156" w:after="156"/>
      </w:pPr>
      <w:r>
        <w:t>4</w:t>
      </w:r>
      <w:r>
        <w:rPr>
          <w:rFonts w:hint="eastAsia"/>
        </w:rPr>
        <w:t>.</w:t>
      </w:r>
      <w:r>
        <w:t>3</w:t>
      </w:r>
      <w:r>
        <w:rPr>
          <w:rFonts w:hint="eastAsia"/>
        </w:rPr>
        <w:t>.</w:t>
      </w:r>
      <w:r>
        <w:t xml:space="preserve">1 </w:t>
      </w:r>
      <w:r>
        <w:rPr>
          <w:rFonts w:hint="eastAsia"/>
        </w:rPr>
        <w:t>水资源使用</w:t>
      </w:r>
    </w:p>
    <w:p>
      <w:pPr>
        <w:pStyle w:val="231"/>
        <w:numPr>
          <w:ilvl w:val="0"/>
          <w:numId w:val="36"/>
        </w:numPr>
        <w:ind w:firstLineChars="0"/>
      </w:pPr>
      <w:bookmarkStart w:id="282" w:name="_Hlk98144455"/>
      <w:bookmarkStart w:id="283" w:name="_Hlk98144442"/>
      <w:r>
        <w:rPr>
          <w:rFonts w:hint="eastAsia"/>
        </w:rPr>
        <w:t>数据中心的水资源使用应符</w:t>
      </w:r>
      <w:r>
        <w:rPr>
          <w:rFonts w:hint="eastAsia" w:ascii="宋体" w:hAnsi="宋体"/>
        </w:rPr>
        <w:t>合D</w:t>
      </w:r>
      <w:r>
        <w:rPr>
          <w:rFonts w:ascii="宋体" w:hAnsi="宋体"/>
        </w:rPr>
        <w:t>B11/T 936.1-2020</w:t>
      </w:r>
      <w:r>
        <w:rPr>
          <w:rFonts w:hint="eastAsia" w:ascii="宋体" w:hAnsi="宋体"/>
        </w:rPr>
        <w:t>中</w:t>
      </w:r>
      <w:r>
        <w:rPr>
          <w:rFonts w:hint="eastAsia"/>
        </w:rPr>
        <w:t>规定的基本要求；</w:t>
      </w:r>
    </w:p>
    <w:p>
      <w:pPr>
        <w:pStyle w:val="231"/>
        <w:numPr>
          <w:ilvl w:val="0"/>
          <w:numId w:val="36"/>
        </w:numPr>
        <w:ind w:firstLineChars="0"/>
      </w:pPr>
      <w:r>
        <w:rPr>
          <w:rFonts w:hint="eastAsia"/>
        </w:rPr>
        <w:t>数据中心宜根据用途选择使用非传统水源，</w:t>
      </w:r>
      <w:r>
        <w:rPr>
          <w:rFonts w:hint="eastAsia" w:ascii="宋体" w:hAnsi="宋体"/>
        </w:rPr>
        <w:t>并针对不同水源、不同用途进行水资源的分项计量，</w:t>
      </w:r>
      <w:r>
        <w:rPr>
          <w:rFonts w:hint="eastAsia"/>
        </w:rPr>
        <w:t>鼓励使用中水、再生水；</w:t>
      </w:r>
    </w:p>
    <w:p>
      <w:pPr>
        <w:pStyle w:val="231"/>
        <w:numPr>
          <w:ilvl w:val="0"/>
          <w:numId w:val="36"/>
        </w:numPr>
        <w:ind w:firstLineChars="0"/>
        <w:rPr>
          <w:rFonts w:ascii="宋体" w:hAnsi="宋体"/>
        </w:rPr>
      </w:pPr>
      <w:r>
        <w:rPr>
          <w:rFonts w:hint="eastAsia"/>
        </w:rPr>
        <w:t>数据中心应建立节约用水制度，使用节水器</w:t>
      </w:r>
      <w:r>
        <w:rPr>
          <w:rFonts w:hint="eastAsia" w:ascii="宋体" w:hAnsi="宋体"/>
        </w:rPr>
        <w:t>具，加强用水设备的日常维护；</w:t>
      </w:r>
    </w:p>
    <w:p>
      <w:pPr>
        <w:pStyle w:val="231"/>
        <w:numPr>
          <w:ilvl w:val="0"/>
          <w:numId w:val="36"/>
        </w:numPr>
        <w:ind w:firstLineChars="0"/>
      </w:pPr>
      <w:r>
        <w:rPr>
          <w:rFonts w:hint="eastAsia" w:ascii="宋体" w:hAnsi="宋体"/>
        </w:rPr>
        <w:t>数据中心的水资源使用效率（W</w:t>
      </w:r>
      <w:r>
        <w:rPr>
          <w:rFonts w:ascii="宋体" w:hAnsi="宋体"/>
        </w:rPr>
        <w:t>UE</w:t>
      </w:r>
      <w:r>
        <w:rPr>
          <w:rFonts w:hint="eastAsia" w:ascii="宋体" w:hAnsi="宋体"/>
        </w:rPr>
        <w:t>）应不高于1</w:t>
      </w:r>
      <w:r>
        <w:rPr>
          <w:rFonts w:ascii="宋体" w:hAnsi="宋体"/>
        </w:rPr>
        <w:t>.6L/kW·h</w:t>
      </w:r>
      <w:bookmarkEnd w:id="282"/>
      <w:r>
        <w:rPr>
          <w:rFonts w:hint="eastAsia" w:ascii="宋体" w:hAnsi="宋体"/>
        </w:rPr>
        <w:t>。</w:t>
      </w:r>
    </w:p>
    <w:bookmarkEnd w:id="283"/>
    <w:p>
      <w:pPr>
        <w:pStyle w:val="237"/>
        <w:spacing w:before="156" w:after="156"/>
      </w:pPr>
      <w:r>
        <w:t>4</w:t>
      </w:r>
      <w:r>
        <w:rPr>
          <w:rFonts w:hint="eastAsia"/>
        </w:rPr>
        <w:t>.</w:t>
      </w:r>
      <w:r>
        <w:t>3</w:t>
      </w:r>
      <w:r>
        <w:rPr>
          <w:rFonts w:hint="eastAsia"/>
        </w:rPr>
        <w:t>.</w:t>
      </w:r>
      <w:r>
        <w:t xml:space="preserve">2 </w:t>
      </w:r>
      <w:r>
        <w:rPr>
          <w:rFonts w:hint="eastAsia"/>
        </w:rPr>
        <w:t>其他资源使用</w:t>
      </w:r>
    </w:p>
    <w:p>
      <w:pPr>
        <w:pStyle w:val="231"/>
      </w:pPr>
      <w:r>
        <w:rPr>
          <w:rFonts w:hint="eastAsia"/>
        </w:rPr>
        <w:t>数据中心应对其使用的其他资源（例如柴油、天然气、机油及其他消耗品等）进行有效识别，并对有节约价值的资源，进行有效管理。</w:t>
      </w:r>
    </w:p>
    <w:p>
      <w:pPr>
        <w:pStyle w:val="237"/>
        <w:spacing w:before="156" w:after="156"/>
      </w:pPr>
      <w:r>
        <w:t>4</w:t>
      </w:r>
      <w:r>
        <w:rPr>
          <w:rFonts w:hint="eastAsia"/>
        </w:rPr>
        <w:t>.</w:t>
      </w:r>
      <w:r>
        <w:t>3</w:t>
      </w:r>
      <w:r>
        <w:rPr>
          <w:rFonts w:hint="eastAsia"/>
        </w:rPr>
        <w:t>.</w:t>
      </w:r>
      <w:r>
        <w:t xml:space="preserve">3 </w:t>
      </w:r>
      <w:r>
        <w:rPr>
          <w:rFonts w:hint="eastAsia"/>
        </w:rPr>
        <w:t>资源循环利用</w:t>
      </w:r>
    </w:p>
    <w:p>
      <w:pPr>
        <w:pStyle w:val="231"/>
        <w:numPr>
          <w:ilvl w:val="0"/>
          <w:numId w:val="37"/>
        </w:numPr>
        <w:ind w:firstLineChars="0"/>
      </w:pPr>
      <w:r>
        <w:rPr>
          <w:rFonts w:hint="eastAsia"/>
        </w:rPr>
        <w:t>废旧电器电子产品处理</w:t>
      </w:r>
    </w:p>
    <w:p>
      <w:pPr>
        <w:pStyle w:val="231"/>
      </w:pPr>
      <w:r>
        <w:rPr>
          <w:rFonts w:hint="eastAsia"/>
        </w:rPr>
        <w:t>数据中心应具有可追溯的电器电子产品管理档案，能够对废旧电器电子产品进行识别并进行有效再利用；废旧电器电子产品的再利用措施包括但不限于数据中心自用及与产品生产企业、有相应资质的回收企业共同建立的废旧电器电子产品回收体系等。</w:t>
      </w:r>
    </w:p>
    <w:p>
      <w:pPr>
        <w:pStyle w:val="231"/>
        <w:numPr>
          <w:ilvl w:val="0"/>
          <w:numId w:val="37"/>
        </w:numPr>
        <w:ind w:firstLineChars="0"/>
      </w:pPr>
      <w:r>
        <w:rPr>
          <w:rFonts w:hint="eastAsia"/>
        </w:rPr>
        <w:t>余热回收</w:t>
      </w:r>
    </w:p>
    <w:p>
      <w:pPr>
        <w:pStyle w:val="231"/>
      </w:pPr>
      <w:r>
        <w:rPr>
          <w:rFonts w:hint="eastAsia"/>
        </w:rPr>
        <w:t>数据中心应采用余热回收利用措施提高能源再利用率；宜与周边建筑、园区协同建立余热回收利用体系。</w:t>
      </w:r>
    </w:p>
    <w:p>
      <w:pPr>
        <w:pStyle w:val="235"/>
        <w:spacing w:before="156" w:after="156"/>
      </w:pPr>
      <w:bookmarkStart w:id="284" w:name="_Toc104477834"/>
      <w:r>
        <w:t>4</w:t>
      </w:r>
      <w:r>
        <w:rPr>
          <w:rFonts w:hint="eastAsia"/>
        </w:rPr>
        <w:t>.</w:t>
      </w:r>
      <w:r>
        <w:t>4</w:t>
      </w:r>
      <w:r>
        <w:rPr>
          <w:rFonts w:hint="eastAsia"/>
        </w:rPr>
        <w:t>环境影响管理评价方法</w:t>
      </w:r>
      <w:bookmarkEnd w:id="284"/>
    </w:p>
    <w:p>
      <w:pPr>
        <w:pStyle w:val="237"/>
        <w:spacing w:before="156" w:after="156"/>
      </w:pPr>
      <w:bookmarkStart w:id="285" w:name="_Toc528169730"/>
      <w:bookmarkEnd w:id="285"/>
      <w:bookmarkStart w:id="286" w:name="_Toc528169786"/>
      <w:bookmarkEnd w:id="286"/>
      <w:bookmarkStart w:id="287" w:name="_Toc528170072"/>
      <w:bookmarkEnd w:id="287"/>
      <w:bookmarkStart w:id="288" w:name="_Toc528169701"/>
      <w:bookmarkEnd w:id="288"/>
      <w:bookmarkStart w:id="289" w:name="_Toc528169990"/>
      <w:bookmarkEnd w:id="289"/>
      <w:bookmarkStart w:id="290" w:name="_Toc528169700"/>
      <w:bookmarkEnd w:id="290"/>
      <w:bookmarkStart w:id="291" w:name="_Toc528170019"/>
      <w:bookmarkEnd w:id="291"/>
      <w:bookmarkStart w:id="292" w:name="_Toc528170057"/>
      <w:bookmarkEnd w:id="292"/>
      <w:bookmarkStart w:id="293" w:name="_Toc528169778"/>
      <w:bookmarkEnd w:id="293"/>
      <w:bookmarkStart w:id="294" w:name="_Toc528169993"/>
      <w:bookmarkEnd w:id="294"/>
      <w:bookmarkStart w:id="295" w:name="_Toc528170018"/>
      <w:bookmarkEnd w:id="295"/>
      <w:bookmarkStart w:id="296" w:name="_Toc528169774"/>
      <w:bookmarkEnd w:id="296"/>
      <w:bookmarkStart w:id="297" w:name="_Toc528169708"/>
      <w:bookmarkEnd w:id="297"/>
      <w:bookmarkStart w:id="298" w:name="_Toc528169699"/>
      <w:bookmarkEnd w:id="298"/>
      <w:bookmarkStart w:id="299" w:name="_Toc528169775"/>
      <w:bookmarkEnd w:id="299"/>
      <w:bookmarkStart w:id="300" w:name="_Toc528169988"/>
      <w:bookmarkEnd w:id="300"/>
      <w:bookmarkStart w:id="301" w:name="_Toc528169806"/>
      <w:bookmarkEnd w:id="301"/>
      <w:bookmarkStart w:id="302" w:name="_Toc528169767"/>
      <w:bookmarkEnd w:id="302"/>
      <w:bookmarkStart w:id="303" w:name="_Toc528170073"/>
      <w:bookmarkEnd w:id="303"/>
      <w:bookmarkStart w:id="304" w:name="_Toc528170065"/>
      <w:bookmarkEnd w:id="304"/>
      <w:bookmarkStart w:id="305" w:name="_Toc528169838"/>
      <w:bookmarkEnd w:id="305"/>
      <w:bookmarkStart w:id="306" w:name="_Toc528169763"/>
      <w:bookmarkEnd w:id="306"/>
      <w:bookmarkStart w:id="307" w:name="_Toc528169997"/>
      <w:bookmarkEnd w:id="307"/>
      <w:bookmarkStart w:id="308" w:name="_Toc528169705"/>
      <w:bookmarkEnd w:id="308"/>
      <w:bookmarkStart w:id="309" w:name="_Toc528169731"/>
      <w:bookmarkEnd w:id="309"/>
      <w:bookmarkStart w:id="310" w:name="_Toc528169992"/>
      <w:bookmarkEnd w:id="310"/>
      <w:bookmarkStart w:id="311" w:name="_Toc528169764"/>
      <w:bookmarkEnd w:id="311"/>
      <w:bookmarkStart w:id="312" w:name="_Toc528169702"/>
      <w:bookmarkEnd w:id="312"/>
      <w:bookmarkStart w:id="313" w:name="_Toc528169994"/>
      <w:bookmarkEnd w:id="313"/>
      <w:bookmarkStart w:id="314" w:name="_Toc528170032"/>
      <w:bookmarkEnd w:id="314"/>
      <w:bookmarkStart w:id="315" w:name="_Toc528170126"/>
      <w:bookmarkEnd w:id="315"/>
      <w:bookmarkStart w:id="316" w:name="_Toc528169819"/>
      <w:bookmarkEnd w:id="316"/>
      <w:bookmarkStart w:id="317" w:name="_Toc528169998"/>
      <w:bookmarkEnd w:id="317"/>
      <w:bookmarkStart w:id="318" w:name="_Toc528170054"/>
      <w:bookmarkEnd w:id="318"/>
      <w:bookmarkStart w:id="319" w:name="_Toc528170098"/>
      <w:bookmarkEnd w:id="319"/>
      <w:bookmarkStart w:id="320" w:name="_Toc528169991"/>
      <w:bookmarkEnd w:id="320"/>
      <w:bookmarkStart w:id="321" w:name="_Toc528169768"/>
      <w:bookmarkEnd w:id="321"/>
      <w:bookmarkStart w:id="322" w:name="_Toc528169996"/>
      <w:bookmarkEnd w:id="322"/>
      <w:bookmarkStart w:id="323" w:name="_Toc528169999"/>
      <w:bookmarkEnd w:id="323"/>
      <w:bookmarkStart w:id="324" w:name="_Toc528170128"/>
      <w:bookmarkEnd w:id="324"/>
      <w:bookmarkStart w:id="325" w:name="_Toc528169770"/>
      <w:bookmarkEnd w:id="325"/>
      <w:bookmarkStart w:id="326" w:name="_Toc528169792"/>
      <w:bookmarkEnd w:id="326"/>
      <w:bookmarkStart w:id="327" w:name="_Toc528169810"/>
      <w:bookmarkEnd w:id="327"/>
      <w:bookmarkStart w:id="328" w:name="_Toc528170111"/>
      <w:bookmarkEnd w:id="328"/>
      <w:bookmarkStart w:id="329" w:name="_Toc528169769"/>
      <w:bookmarkEnd w:id="329"/>
      <w:bookmarkStart w:id="330" w:name="_Toc528170055"/>
      <w:bookmarkEnd w:id="330"/>
      <w:bookmarkStart w:id="331" w:name="_Toc528170125"/>
      <w:bookmarkEnd w:id="331"/>
      <w:bookmarkStart w:id="332" w:name="_Toc528169743"/>
      <w:bookmarkEnd w:id="332"/>
      <w:bookmarkStart w:id="333" w:name="_Toc528169783"/>
      <w:bookmarkEnd w:id="333"/>
      <w:bookmarkStart w:id="334" w:name="_Toc528170127"/>
      <w:bookmarkEnd w:id="334"/>
      <w:bookmarkStart w:id="335" w:name="_Toc528170020"/>
      <w:bookmarkEnd w:id="335"/>
      <w:bookmarkStart w:id="336" w:name="_Toc528170059"/>
      <w:bookmarkEnd w:id="336"/>
      <w:bookmarkStart w:id="337" w:name="_Toc528169784"/>
      <w:bookmarkEnd w:id="337"/>
      <w:bookmarkStart w:id="338" w:name="_Toc528169782"/>
      <w:bookmarkEnd w:id="338"/>
      <w:bookmarkStart w:id="339" w:name="_Toc528169729"/>
      <w:bookmarkEnd w:id="339"/>
      <w:bookmarkStart w:id="340" w:name="_Toc528169822"/>
      <w:bookmarkEnd w:id="340"/>
      <w:bookmarkStart w:id="341" w:name="_Toc528170079"/>
      <w:bookmarkEnd w:id="341"/>
      <w:bookmarkStart w:id="342" w:name="_Toc528170076"/>
      <w:bookmarkEnd w:id="342"/>
      <w:bookmarkStart w:id="343" w:name="_Toc528170078"/>
      <w:bookmarkEnd w:id="343"/>
      <w:bookmarkStart w:id="344" w:name="_Toc528170110"/>
      <w:bookmarkEnd w:id="344"/>
      <w:bookmarkStart w:id="345" w:name="_Toc528170069"/>
      <w:bookmarkEnd w:id="345"/>
      <w:bookmarkStart w:id="346" w:name="_Toc528169710"/>
      <w:bookmarkEnd w:id="346"/>
      <w:bookmarkStart w:id="347" w:name="_Toc528169787"/>
      <w:bookmarkEnd w:id="347"/>
      <w:bookmarkStart w:id="348" w:name="_Toc528169765"/>
      <w:bookmarkEnd w:id="348"/>
      <w:bookmarkStart w:id="349" w:name="_Toc528169839"/>
      <w:bookmarkEnd w:id="349"/>
      <w:bookmarkStart w:id="350" w:name="_Toc528169836"/>
      <w:bookmarkEnd w:id="350"/>
      <w:bookmarkStart w:id="351" w:name="_Toc528170074"/>
      <w:bookmarkEnd w:id="351"/>
      <w:bookmarkStart w:id="352" w:name="_Toc528170016"/>
      <w:bookmarkEnd w:id="352"/>
      <w:bookmarkStart w:id="353" w:name="_Toc528169995"/>
      <w:bookmarkEnd w:id="353"/>
      <w:bookmarkStart w:id="354" w:name="_Toc528169727"/>
      <w:bookmarkEnd w:id="354"/>
      <w:bookmarkStart w:id="355" w:name="_Toc528170109"/>
      <w:bookmarkEnd w:id="355"/>
      <w:bookmarkStart w:id="356" w:name="_Toc528169837"/>
      <w:bookmarkEnd w:id="356"/>
      <w:bookmarkStart w:id="357" w:name="_Toc528169807"/>
      <w:bookmarkEnd w:id="357"/>
      <w:bookmarkStart w:id="358" w:name="_Toc528169789"/>
      <w:bookmarkEnd w:id="358"/>
      <w:bookmarkStart w:id="359" w:name="_Toc528169791"/>
      <w:bookmarkEnd w:id="359"/>
      <w:bookmarkStart w:id="360" w:name="_Toc528169704"/>
      <w:bookmarkEnd w:id="360"/>
      <w:bookmarkStart w:id="361" w:name="_Toc528169781"/>
      <w:bookmarkEnd w:id="361"/>
      <w:bookmarkStart w:id="362" w:name="_Toc528170097"/>
      <w:bookmarkEnd w:id="362"/>
      <w:bookmarkStart w:id="363" w:name="_Toc528170060"/>
      <w:bookmarkEnd w:id="363"/>
      <w:bookmarkStart w:id="364" w:name="_Toc528169790"/>
      <w:bookmarkEnd w:id="364"/>
      <w:bookmarkStart w:id="365" w:name="_Toc528170068"/>
      <w:bookmarkEnd w:id="365"/>
      <w:bookmarkStart w:id="366" w:name="_Toc528170063"/>
      <w:bookmarkEnd w:id="366"/>
      <w:bookmarkStart w:id="367" w:name="_Toc528169821"/>
      <w:bookmarkEnd w:id="367"/>
      <w:bookmarkStart w:id="368" w:name="_Toc528170095"/>
      <w:bookmarkEnd w:id="368"/>
      <w:bookmarkStart w:id="369" w:name="_Toc528170062"/>
      <w:bookmarkEnd w:id="369"/>
      <w:bookmarkStart w:id="370" w:name="_Toc528170099"/>
      <w:bookmarkEnd w:id="370"/>
      <w:bookmarkStart w:id="371" w:name="_Toc528170066"/>
      <w:bookmarkEnd w:id="371"/>
      <w:bookmarkStart w:id="372" w:name="_Toc528170108"/>
      <w:bookmarkEnd w:id="372"/>
      <w:bookmarkStart w:id="373" w:name="_Toc528169776"/>
      <w:bookmarkEnd w:id="373"/>
      <w:bookmarkStart w:id="374" w:name="_Toc528169777"/>
      <w:bookmarkEnd w:id="374"/>
      <w:bookmarkStart w:id="375" w:name="_Toc528170051"/>
      <w:bookmarkEnd w:id="375"/>
      <w:bookmarkStart w:id="376" w:name="_Toc528169788"/>
      <w:bookmarkEnd w:id="376"/>
      <w:bookmarkStart w:id="377" w:name="_Toc528170035"/>
      <w:bookmarkEnd w:id="377"/>
      <w:bookmarkStart w:id="378" w:name="_Toc528169744"/>
      <w:bookmarkEnd w:id="378"/>
      <w:bookmarkStart w:id="379" w:name="_Toc528170070"/>
      <w:bookmarkEnd w:id="379"/>
      <w:bookmarkStart w:id="380" w:name="_Toc528169785"/>
      <w:bookmarkEnd w:id="380"/>
      <w:bookmarkStart w:id="381" w:name="_Toc528169766"/>
      <w:bookmarkEnd w:id="381"/>
      <w:bookmarkStart w:id="382" w:name="_Toc528170096"/>
      <w:bookmarkEnd w:id="382"/>
      <w:bookmarkStart w:id="383" w:name="_Toc528170075"/>
      <w:bookmarkEnd w:id="383"/>
      <w:bookmarkStart w:id="384" w:name="_Toc528170080"/>
      <w:bookmarkEnd w:id="384"/>
      <w:bookmarkStart w:id="385" w:name="_Toc528169820"/>
      <w:bookmarkEnd w:id="385"/>
      <w:bookmarkStart w:id="386" w:name="_Toc528170061"/>
      <w:bookmarkEnd w:id="386"/>
      <w:bookmarkStart w:id="387" w:name="_Toc528169707"/>
      <w:bookmarkEnd w:id="387"/>
      <w:bookmarkStart w:id="388" w:name="_Toc528170053"/>
      <w:bookmarkEnd w:id="388"/>
      <w:bookmarkStart w:id="389" w:name="_Toc528170064"/>
      <w:bookmarkEnd w:id="389"/>
      <w:bookmarkStart w:id="390" w:name="_Toc528169809"/>
      <w:bookmarkEnd w:id="390"/>
      <w:bookmarkStart w:id="391" w:name="_Toc528169762"/>
      <w:bookmarkEnd w:id="391"/>
      <w:bookmarkStart w:id="392" w:name="_Toc528170067"/>
      <w:bookmarkEnd w:id="392"/>
      <w:bookmarkStart w:id="393" w:name="_Toc528169773"/>
      <w:bookmarkEnd w:id="393"/>
      <w:bookmarkStart w:id="394" w:name="_Toc528170071"/>
      <w:bookmarkEnd w:id="394"/>
      <w:bookmarkStart w:id="395" w:name="_Toc528169709"/>
      <w:bookmarkEnd w:id="395"/>
      <w:bookmarkStart w:id="396" w:name="_Toc528169780"/>
      <w:bookmarkEnd w:id="396"/>
      <w:bookmarkStart w:id="397" w:name="_Toc528170058"/>
      <w:bookmarkEnd w:id="397"/>
      <w:bookmarkStart w:id="398" w:name="_Toc528169745"/>
      <w:bookmarkEnd w:id="398"/>
      <w:bookmarkStart w:id="399" w:name="_Toc528169771"/>
      <w:bookmarkEnd w:id="399"/>
      <w:bookmarkStart w:id="400" w:name="_Toc528169772"/>
      <w:bookmarkEnd w:id="400"/>
      <w:bookmarkStart w:id="401" w:name="_Toc528169746"/>
      <w:bookmarkEnd w:id="401"/>
      <w:bookmarkStart w:id="402" w:name="_Toc528170077"/>
      <w:bookmarkEnd w:id="402"/>
      <w:bookmarkStart w:id="403" w:name="_Toc528169703"/>
      <w:bookmarkEnd w:id="403"/>
      <w:bookmarkStart w:id="404" w:name="_Toc528169989"/>
      <w:bookmarkEnd w:id="404"/>
      <w:bookmarkStart w:id="405" w:name="_Toc528170056"/>
      <w:bookmarkEnd w:id="405"/>
      <w:bookmarkStart w:id="406" w:name="_Toc528170033"/>
      <w:bookmarkEnd w:id="406"/>
      <w:bookmarkStart w:id="407" w:name="_Toc528170081"/>
      <w:bookmarkEnd w:id="407"/>
      <w:bookmarkStart w:id="408" w:name="_Toc528169728"/>
      <w:bookmarkEnd w:id="408"/>
      <w:bookmarkStart w:id="409" w:name="_Toc528169706"/>
      <w:bookmarkEnd w:id="409"/>
      <w:bookmarkStart w:id="410" w:name="_Toc528169808"/>
      <w:bookmarkEnd w:id="410"/>
      <w:bookmarkStart w:id="411" w:name="_Toc528170017"/>
      <w:bookmarkEnd w:id="411"/>
      <w:bookmarkStart w:id="412" w:name="_Toc528170052"/>
      <w:bookmarkEnd w:id="412"/>
      <w:bookmarkStart w:id="413" w:name="_Toc528169779"/>
      <w:bookmarkEnd w:id="413"/>
      <w:bookmarkStart w:id="414" w:name="_Toc528170034"/>
      <w:bookmarkEnd w:id="414"/>
      <w:r>
        <w:t>4</w:t>
      </w:r>
      <w:r>
        <w:rPr>
          <w:rFonts w:hint="eastAsia"/>
        </w:rPr>
        <w:t>.</w:t>
      </w:r>
      <w:r>
        <w:t>4</w:t>
      </w:r>
      <w:r>
        <w:rPr>
          <w:rFonts w:hint="eastAsia"/>
        </w:rPr>
        <w:t>.</w:t>
      </w:r>
      <w:r>
        <w:t xml:space="preserve">1 </w:t>
      </w:r>
      <w:r>
        <w:rPr>
          <w:rFonts w:hint="eastAsia"/>
        </w:rPr>
        <w:t>废弃物处置</w:t>
      </w:r>
    </w:p>
    <w:p>
      <w:pPr>
        <w:pStyle w:val="231"/>
      </w:pPr>
      <w:r>
        <w:rPr>
          <w:rFonts w:hint="eastAsia"/>
        </w:rPr>
        <w:t>对于数据中心日常运行维护、检修等产生的空气滤芯、废旧电缆、水处理残渣、废旧电池、电缆桥架、废弃油液、可破坏臭氧层或具有温室效应的制冷剂和污水等各类可能对环境产生不良影响的废弃物，数据中心应充分识别并依照国家及北京市相关管理规定建立有相关处理制度，废弃物产生及处理过程应具有完整记录。对已纳入《国家危险废物名录》的危险废物，应按照国家和北京市的有关规定进行处置。</w:t>
      </w:r>
    </w:p>
    <w:p>
      <w:pPr>
        <w:pStyle w:val="237"/>
        <w:spacing w:before="156" w:after="156"/>
      </w:pPr>
      <w:bookmarkStart w:id="415" w:name="_Toc531981660"/>
      <w:r>
        <w:t>4</w:t>
      </w:r>
      <w:r>
        <w:rPr>
          <w:rFonts w:hint="eastAsia"/>
        </w:rPr>
        <w:t>.</w:t>
      </w:r>
      <w:bookmarkEnd w:id="415"/>
      <w:r>
        <w:t>4</w:t>
      </w:r>
      <w:r>
        <w:rPr>
          <w:rFonts w:hint="eastAsia"/>
        </w:rPr>
        <w:t>.</w:t>
      </w:r>
      <w:r>
        <w:t xml:space="preserve">2 </w:t>
      </w:r>
      <w:r>
        <w:rPr>
          <w:rFonts w:hint="eastAsia"/>
        </w:rPr>
        <w:t>有害物质控制</w:t>
      </w:r>
    </w:p>
    <w:p>
      <w:pPr>
        <w:pStyle w:val="231"/>
      </w:pPr>
      <w:r>
        <w:rPr>
          <w:rFonts w:hint="eastAsia"/>
        </w:rPr>
        <w:t>数据</w:t>
      </w:r>
      <w:r>
        <w:rPr>
          <w:rFonts w:hint="eastAsia" w:ascii="宋体" w:hAnsi="宋体"/>
        </w:rPr>
        <w:t>中心应对内部相关方（如独立的IT部门、采购部门）或外部相关方（如客户、运营商）所使用的电器电子产品进行管理。数据中心物理界限范围内的电器电子产品应符合《电器电子产品有害物质限制使用管理办法》和GB/T 26572《电子电气产品中限用物质的限量要求》中的相关要求。</w:t>
      </w:r>
    </w:p>
    <w:p>
      <w:pPr>
        <w:pStyle w:val="237"/>
        <w:spacing w:before="156" w:after="156"/>
      </w:pPr>
      <w:bookmarkStart w:id="416" w:name="_Toc531981662"/>
      <w:r>
        <w:t>4</w:t>
      </w:r>
      <w:r>
        <w:rPr>
          <w:rFonts w:hint="eastAsia"/>
        </w:rPr>
        <w:t>.</w:t>
      </w:r>
      <w:r>
        <w:t>4</w:t>
      </w:r>
      <w:r>
        <w:rPr>
          <w:rFonts w:hint="eastAsia"/>
        </w:rPr>
        <w:t>.</w:t>
      </w:r>
      <w:bookmarkEnd w:id="416"/>
      <w:r>
        <w:t xml:space="preserve">3 </w:t>
      </w:r>
      <w:r>
        <w:rPr>
          <w:rFonts w:hint="eastAsia"/>
        </w:rPr>
        <w:t>环境影响管理制度</w:t>
      </w:r>
    </w:p>
    <w:p>
      <w:pPr>
        <w:pStyle w:val="231"/>
      </w:pPr>
      <w:r>
        <w:rPr>
          <w:rFonts w:hint="eastAsia" w:ascii="宋体" w:hAnsi="宋体"/>
        </w:rPr>
        <w:t>数据中心宜按照H</w:t>
      </w:r>
      <w:r>
        <w:rPr>
          <w:rFonts w:ascii="宋体" w:hAnsi="宋体"/>
        </w:rPr>
        <w:t>J 2.1</w:t>
      </w:r>
      <w:r>
        <w:rPr>
          <w:rFonts w:hint="eastAsia" w:ascii="宋体" w:hAnsi="宋体"/>
        </w:rPr>
        <w:t>中规定的方法对其环境影响因素、影响程度和影响风险进行识别、评估和预测，并采取有效措施减小对环境的影响。大型数据中心宜具备系统、科学、长期的环境影响管理制度，并按照GB/T 24001中规定的要求建立环境管理体系</w:t>
      </w:r>
      <w:r>
        <w:rPr>
          <w:rFonts w:hint="eastAsia"/>
        </w:rPr>
        <w:t>。</w:t>
      </w:r>
    </w:p>
    <w:p>
      <w:pPr>
        <w:pStyle w:val="235"/>
        <w:spacing w:before="156" w:after="156"/>
      </w:pPr>
      <w:bookmarkStart w:id="417" w:name="_Toc104477835"/>
      <w:r>
        <w:t>4</w:t>
      </w:r>
      <w:r>
        <w:rPr>
          <w:rFonts w:hint="eastAsia"/>
        </w:rPr>
        <w:t>.</w:t>
      </w:r>
      <w:r>
        <w:t>5</w:t>
      </w:r>
      <w:r>
        <w:rPr>
          <w:rFonts w:hint="eastAsia"/>
        </w:rPr>
        <w:t>相关方管理评价方法</w:t>
      </w:r>
      <w:bookmarkEnd w:id="417"/>
    </w:p>
    <w:p>
      <w:pPr>
        <w:pStyle w:val="237"/>
        <w:spacing w:before="156" w:after="156"/>
      </w:pPr>
      <w:r>
        <w:t>4</w:t>
      </w:r>
      <w:r>
        <w:rPr>
          <w:rFonts w:hint="eastAsia"/>
        </w:rPr>
        <w:t>.</w:t>
      </w:r>
      <w:r>
        <w:t>5</w:t>
      </w:r>
      <w:r>
        <w:rPr>
          <w:rFonts w:hint="eastAsia"/>
        </w:rPr>
        <w:t>.1</w:t>
      </w:r>
      <w:r>
        <w:t xml:space="preserve"> </w:t>
      </w:r>
      <w:r>
        <w:rPr>
          <w:rFonts w:hint="eastAsia"/>
        </w:rPr>
        <w:t>供方管理</w:t>
      </w:r>
    </w:p>
    <w:p>
      <w:pPr>
        <w:ind w:firstLine="420" w:firstLineChars="200"/>
      </w:pPr>
      <w:r>
        <w:rPr>
          <w:rFonts w:hint="eastAsia"/>
        </w:rPr>
        <w:t>数据中心应采取必要的措施确保供方提供的产品和服务满足本标准的要求，确保供方在本数据中心的活动符合本标准的要求。</w:t>
      </w:r>
    </w:p>
    <w:p>
      <w:pPr>
        <w:pStyle w:val="231"/>
        <w:ind w:firstLine="360"/>
        <w:rPr>
          <w:rFonts w:ascii="黑体" w:hAnsi="黑体" w:eastAsia="黑体"/>
          <w:sz w:val="18"/>
        </w:rPr>
      </w:pPr>
      <w:r>
        <w:rPr>
          <w:rFonts w:hint="eastAsia" w:ascii="黑体" w:hAnsi="黑体" w:eastAsia="黑体"/>
          <w:sz w:val="18"/>
        </w:rPr>
        <w:t>注：必要的措施包括但不限于：合同约束、履约保证、到货验收、测试验证、服务评价等。</w:t>
      </w:r>
    </w:p>
    <w:p>
      <w:pPr>
        <w:pStyle w:val="237"/>
        <w:spacing w:before="156" w:after="156"/>
      </w:pPr>
      <w:r>
        <w:t>4</w:t>
      </w:r>
      <w:r>
        <w:rPr>
          <w:rFonts w:hint="eastAsia"/>
        </w:rPr>
        <w:t>.</w:t>
      </w:r>
      <w:r>
        <w:t>5</w:t>
      </w:r>
      <w:r>
        <w:rPr>
          <w:rFonts w:hint="eastAsia"/>
        </w:rPr>
        <w:t>.2</w:t>
      </w:r>
      <w:r>
        <w:t xml:space="preserve"> </w:t>
      </w:r>
      <w:r>
        <w:rPr>
          <w:rFonts w:hint="eastAsia"/>
        </w:rPr>
        <w:t>客户及其他相关方管理</w:t>
      </w:r>
    </w:p>
    <w:p>
      <w:pPr>
        <w:ind w:firstLine="420" w:firstLineChars="200"/>
        <w:rPr>
          <w:rFonts w:ascii="宋体" w:hAnsi="宋体"/>
        </w:rPr>
      </w:pPr>
      <w:r>
        <w:rPr>
          <w:rFonts w:hint="eastAsia" w:ascii="宋体" w:hAnsi="宋体"/>
        </w:rPr>
        <w:t>数据中心应采取必要的措施对客户及其他相关方进行管理，内部相关方（如独立的IT部门等）或外部相关方（客户及其合作伙伴、运营商等）部署到数据中心的设施系统及其在数据中心的活动应符合本标准中规定要求。</w:t>
      </w:r>
    </w:p>
    <w:p>
      <w:pPr>
        <w:pStyle w:val="231"/>
        <w:ind w:firstLine="360"/>
        <w:rPr>
          <w:rFonts w:ascii="黑体" w:hAnsi="黑体" w:eastAsia="黑体"/>
          <w:sz w:val="18"/>
        </w:rPr>
      </w:pPr>
      <w:r>
        <w:rPr>
          <w:rFonts w:hint="eastAsia" w:ascii="黑体" w:hAnsi="黑体" w:eastAsia="黑体"/>
          <w:sz w:val="18"/>
        </w:rPr>
        <w:t>注：必要的措施包括但不限于：合同约束、流程约束、签署责任书、告知等。</w:t>
      </w:r>
    </w:p>
    <w:p>
      <w:pPr>
        <w:pStyle w:val="237"/>
        <w:spacing w:before="156" w:after="156"/>
      </w:pPr>
      <w:r>
        <w:t>4</w:t>
      </w:r>
      <w:r>
        <w:rPr>
          <w:rFonts w:hint="eastAsia"/>
        </w:rPr>
        <w:t>.</w:t>
      </w:r>
      <w:r>
        <w:t>5</w:t>
      </w:r>
      <w:r>
        <w:rPr>
          <w:rFonts w:hint="eastAsia"/>
        </w:rPr>
        <w:t>.3</w:t>
      </w:r>
      <w:r>
        <w:t xml:space="preserve"> </w:t>
      </w:r>
      <w:r>
        <w:rPr>
          <w:rFonts w:hint="eastAsia"/>
        </w:rPr>
        <w:t>第三方服务管理</w:t>
      </w:r>
    </w:p>
    <w:p>
      <w:pPr>
        <w:ind w:firstLine="420" w:firstLineChars="200"/>
      </w:pPr>
      <w:r>
        <w:rPr>
          <w:rFonts w:hint="eastAsia"/>
        </w:rPr>
        <w:t>数据中心宜充分利用测试验证机构、咨询机构、评价机构、认证机构等第三方社会资源，确认数据、分析差距、识别改进机会、借鉴先进经验，持续提升对本标准符合程度。</w:t>
      </w:r>
    </w:p>
    <w:bookmarkEnd w:id="24"/>
    <w:p>
      <w:pPr>
        <w:pStyle w:val="57"/>
        <w:ind w:firstLine="0" w:firstLineChars="0"/>
        <w:jc w:val="center"/>
      </w:pPr>
      <w:bookmarkStart w:id="418"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18"/>
    </w:p>
    <w:p>
      <w:pPr>
        <w:widowControl/>
        <w:adjustRightInd/>
        <w:spacing w:line="240" w:lineRule="auto"/>
        <w:jc w:val="left"/>
        <w:rPr>
          <w:rFonts w:ascii="宋体" w:hAnsi="Times New Roman"/>
          <w:kern w:val="0"/>
          <w:szCs w:val="20"/>
        </w:rPr>
      </w:pPr>
      <w:r>
        <w:br w:type="page"/>
      </w:r>
    </w:p>
    <w:p>
      <w:pPr>
        <w:pStyle w:val="244"/>
        <w:numPr>
          <w:ilvl w:val="0"/>
          <w:numId w:val="4"/>
        </w:numPr>
        <w:tabs>
          <w:tab w:val="left" w:pos="360"/>
        </w:tabs>
        <w:spacing w:before="240"/>
        <w:rPr>
          <w:rFonts w:ascii="Times New Roman"/>
        </w:rPr>
      </w:pPr>
      <w:r>
        <w:br w:type="textWrapping"/>
      </w:r>
      <w:bookmarkStart w:id="419" w:name="_Toc477255594"/>
      <w:bookmarkStart w:id="420" w:name="_Toc5837370"/>
      <w:bookmarkStart w:id="421" w:name="_Toc104477836"/>
      <w:r>
        <w:rPr>
          <w:rFonts w:hint="eastAsia"/>
        </w:rPr>
        <w:t>（资料性）</w:t>
      </w:r>
      <w:r>
        <w:br w:type="textWrapping"/>
      </w:r>
      <w:bookmarkEnd w:id="419"/>
      <w:r>
        <w:rPr>
          <w:rFonts w:hint="eastAsia"/>
        </w:rPr>
        <w:t>绿色数据中心评价指标</w:t>
      </w:r>
      <w:r>
        <w:rPr>
          <w:rFonts w:hint="eastAsia" w:ascii="Times New Roman"/>
        </w:rPr>
        <w:t>体系</w:t>
      </w:r>
      <w:bookmarkEnd w:id="420"/>
      <w:bookmarkEnd w:id="421"/>
    </w:p>
    <w:p>
      <w:pPr>
        <w:pStyle w:val="231"/>
        <w:spacing w:before="156" w:beforeLines="50" w:after="156" w:afterLines="50"/>
        <w:ind w:firstLine="0" w:firstLineChars="0"/>
        <w:jc w:val="center"/>
        <w:rPr>
          <w:rFonts w:eastAsia="黑体"/>
        </w:rPr>
      </w:pPr>
      <w:r>
        <w:rPr>
          <w:rFonts w:hint="eastAsia" w:eastAsia="黑体"/>
        </w:rPr>
        <w:t xml:space="preserve">表 </w:t>
      </w:r>
      <w:r>
        <w:rPr>
          <w:rFonts w:eastAsia="黑体"/>
        </w:rPr>
        <w:t xml:space="preserve">A.1 </w:t>
      </w:r>
      <w:r>
        <w:rPr>
          <w:rFonts w:hint="eastAsia" w:eastAsia="黑体"/>
        </w:rPr>
        <w:t>绿色数据中心评价指标体系</w:t>
      </w:r>
    </w:p>
    <w:tbl>
      <w:tblPr>
        <w:tblStyle w:val="26"/>
        <w:tblW w:w="8169" w:type="dxa"/>
        <w:jc w:val="center"/>
        <w:tblLayout w:type="autofit"/>
        <w:tblCellMar>
          <w:top w:w="0" w:type="dxa"/>
          <w:left w:w="108" w:type="dxa"/>
          <w:bottom w:w="0" w:type="dxa"/>
          <w:right w:w="108" w:type="dxa"/>
        </w:tblCellMar>
      </w:tblPr>
      <w:tblGrid>
        <w:gridCol w:w="709"/>
        <w:gridCol w:w="2410"/>
        <w:gridCol w:w="2410"/>
        <w:gridCol w:w="850"/>
        <w:gridCol w:w="851"/>
        <w:gridCol w:w="939"/>
      </w:tblGrid>
      <w:tr>
        <w:trPr>
          <w:trHeight w:val="340" w:hRule="exact"/>
          <w:jc w:val="center"/>
        </w:trPr>
        <w:tc>
          <w:tcPr>
            <w:tcW w:w="709"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4820" w:type="dxa"/>
            <w:gridSpan w:val="2"/>
            <w:vMerge w:val="restart"/>
            <w:tcBorders>
              <w:top w:val="single" w:color="auto" w:sz="4" w:space="0"/>
              <w:left w:val="nil"/>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指标类型</w:t>
            </w:r>
          </w:p>
        </w:tc>
        <w:tc>
          <w:tcPr>
            <w:tcW w:w="939" w:type="dxa"/>
            <w:vMerge w:val="restart"/>
            <w:tcBorders>
              <w:top w:val="single" w:color="auto" w:sz="4" w:space="0"/>
              <w:left w:val="nil"/>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评价方法</w:t>
            </w:r>
          </w:p>
        </w:tc>
      </w:tr>
      <w:tr>
        <w:tblPrEx>
          <w:tblCellMar>
            <w:top w:w="0" w:type="dxa"/>
            <w:left w:w="108" w:type="dxa"/>
            <w:bottom w:w="0" w:type="dxa"/>
            <w:right w:w="108" w:type="dxa"/>
          </w:tblCellMar>
        </w:tblPrEx>
        <w:trPr>
          <w:trHeight w:val="340" w:hRule="exact"/>
          <w:jc w:val="center"/>
        </w:trPr>
        <w:tc>
          <w:tcPr>
            <w:tcW w:w="709"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4820" w:type="dxa"/>
            <w:gridSpan w:val="2"/>
            <w:vMerge w:val="continue"/>
            <w:tcBorders>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A类</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B类</w:t>
            </w:r>
          </w:p>
        </w:tc>
        <w:tc>
          <w:tcPr>
            <w:tcW w:w="939" w:type="dxa"/>
            <w:vMerge w:val="continue"/>
            <w:tcBorders>
              <w:left w:val="nil"/>
              <w:bottom w:val="single" w:color="auto" w:sz="4" w:space="0"/>
              <w:right w:val="single" w:color="auto" w:sz="4" w:space="0"/>
            </w:tcBorders>
          </w:tcPr>
          <w:p>
            <w:pPr>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电能使用效率（P</w:t>
            </w:r>
            <w:r>
              <w:rPr>
                <w:rFonts w:ascii="宋体" w:hAnsi="宋体" w:cs="宋体"/>
                <w:color w:val="000000"/>
                <w:kern w:val="0"/>
                <w:sz w:val="18"/>
                <w:szCs w:val="18"/>
              </w:rPr>
              <w:t>UE</w:t>
            </w:r>
            <w:r>
              <w:rPr>
                <w:rFonts w:hint="eastAsia" w:ascii="宋体" w:hAnsi="宋体" w:cs="宋体"/>
                <w:color w:val="000000"/>
                <w:kern w:val="0"/>
                <w:sz w:val="18"/>
                <w:szCs w:val="18"/>
              </w:rPr>
              <w:t>）</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电能使用效率（P</w:t>
            </w:r>
            <w:r>
              <w:rPr>
                <w:rFonts w:ascii="宋体" w:hAnsi="宋体" w:cs="宋体"/>
                <w:color w:val="000000"/>
                <w:kern w:val="0"/>
                <w:sz w:val="18"/>
                <w:szCs w:val="18"/>
              </w:rPr>
              <w:t>UE</w:t>
            </w:r>
            <w:r>
              <w:rPr>
                <w:rFonts w:hint="eastAsia" w:ascii="宋体" w:hAnsi="宋体" w:cs="宋体"/>
                <w:color w:val="000000"/>
                <w:kern w:val="0"/>
                <w:sz w:val="18"/>
                <w:szCs w:val="18"/>
              </w:rPr>
              <w:t>）</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pStyle w:val="229"/>
              <w:jc w:val="center"/>
              <w:rPr>
                <w:sz w:val="18"/>
                <w:szCs w:val="18"/>
              </w:rPr>
            </w:pPr>
            <w:r>
              <w:rPr>
                <w:rFonts w:hint="eastAsia"/>
                <w:sz w:val="18"/>
                <w:szCs w:val="18"/>
              </w:rPr>
              <w:t>○</w:t>
            </w:r>
            <w:r>
              <w:rPr>
                <w:sz w:val="18"/>
                <w:szCs w:val="18"/>
              </w:rPr>
              <w:t xml:space="preserve">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tcBorders>
              <w:top w:val="single" w:color="auto" w:sz="4" w:space="0"/>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.2.1</w:t>
            </w:r>
          </w:p>
        </w:tc>
      </w:tr>
      <w:tr>
        <w:tblPrEx>
          <w:tblCellMar>
            <w:top w:w="0" w:type="dxa"/>
            <w:left w:w="108" w:type="dxa"/>
            <w:bottom w:w="0" w:type="dxa"/>
            <w:right w:w="108" w:type="dxa"/>
          </w:tblCellMar>
        </w:tblPrEx>
        <w:trPr>
          <w:trHeight w:val="340" w:hRule="exac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2</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能源管理制度</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能源统计和分析</w:t>
            </w:r>
          </w:p>
        </w:tc>
        <w:tc>
          <w:tcPr>
            <w:tcW w:w="850" w:type="dxa"/>
            <w:tcBorders>
              <w:top w:val="single" w:color="auto" w:sz="4" w:space="0"/>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restart"/>
            <w:tcBorders>
              <w:top w:val="single" w:color="auto" w:sz="4" w:space="0"/>
              <w:left w:val="nil"/>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.2.2</w:t>
            </w:r>
          </w:p>
        </w:tc>
      </w:tr>
      <w:tr>
        <w:tblPrEx>
          <w:tblCellMar>
            <w:top w:w="0" w:type="dxa"/>
            <w:left w:w="108" w:type="dxa"/>
            <w:bottom w:w="0" w:type="dxa"/>
            <w:right w:w="108" w:type="dxa"/>
          </w:tblCellMar>
        </w:tblPrEx>
        <w:trPr>
          <w:trHeight w:val="34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运行管理</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宣传和培训</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3</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节能技术应用</w:t>
            </w: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机房环境系统节能</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pStyle w:val="229"/>
              <w:jc w:val="center"/>
              <w:rPr>
                <w:sz w:val="18"/>
                <w:szCs w:val="18"/>
              </w:rPr>
            </w:pPr>
            <w:r>
              <w:rPr>
                <w:rFonts w:hint="eastAsia"/>
                <w:sz w:val="18"/>
                <w:szCs w:val="18"/>
              </w:rPr>
              <w:t>○</w:t>
            </w:r>
            <w:r>
              <w:rPr>
                <w:sz w:val="18"/>
                <w:szCs w:val="18"/>
              </w:rPr>
              <w:t xml:space="preserve"> </w:t>
            </w:r>
          </w:p>
        </w:tc>
        <w:tc>
          <w:tcPr>
            <w:tcW w:w="939" w:type="dxa"/>
            <w:vMerge w:val="restart"/>
            <w:tcBorders>
              <w:top w:val="nil"/>
              <w:left w:val="nil"/>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.2.3</w:t>
            </w: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供配电系统节能</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tcPr>
          <w:p>
            <w:pPr>
              <w:spacing w:line="240" w:lineRule="auto"/>
              <w:jc w:val="center"/>
            </w:pPr>
            <w:r>
              <w:rPr>
                <w:rFonts w:hint="eastAsia"/>
                <w:sz w:val="18"/>
                <w:szCs w:val="18"/>
              </w:rPr>
              <w:t>○</w:t>
            </w: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信息系统节能</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tcPr>
          <w:p>
            <w:pPr>
              <w:spacing w:line="240" w:lineRule="auto"/>
              <w:jc w:val="center"/>
            </w:pPr>
            <w:r>
              <w:rPr>
                <w:rFonts w:hint="eastAsia"/>
                <w:sz w:val="18"/>
                <w:szCs w:val="18"/>
              </w:rPr>
              <w:t>○</w:t>
            </w: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照明系统节能</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tcPr>
          <w:p>
            <w:pPr>
              <w:spacing w:line="240" w:lineRule="auto"/>
              <w:jc w:val="center"/>
            </w:pPr>
            <w:r>
              <w:rPr>
                <w:rFonts w:hint="eastAsia"/>
                <w:sz w:val="18"/>
                <w:szCs w:val="18"/>
              </w:rPr>
              <w:t>○</w:t>
            </w: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围护系统节能</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pStyle w:val="229"/>
              <w:jc w:val="center"/>
              <w:rPr>
                <w:sz w:val="18"/>
                <w:szCs w:val="18"/>
              </w:rPr>
            </w:pPr>
            <w:r>
              <w:rPr>
                <w:rFonts w:hint="eastAsia"/>
                <w:sz w:val="18"/>
                <w:szCs w:val="18"/>
              </w:rPr>
              <w:t>○</w:t>
            </w:r>
            <w:r>
              <w:rPr>
                <w:sz w:val="18"/>
                <w:szCs w:val="18"/>
              </w:rPr>
              <w:t xml:space="preserve"> </w:t>
            </w:r>
          </w:p>
        </w:tc>
        <w:tc>
          <w:tcPr>
            <w:tcW w:w="939" w:type="dxa"/>
            <w:vMerge w:val="continue"/>
            <w:tcBorders>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410" w:type="dxa"/>
            <w:tcBorders>
              <w:top w:val="nil"/>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清洁能源与可再生能源利用</w:t>
            </w: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清洁能源与可再生能源利用</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sz w:val="18"/>
                <w:szCs w:val="18"/>
              </w:rPr>
              <w:t>○</w:t>
            </w:r>
          </w:p>
        </w:tc>
        <w:tc>
          <w:tcPr>
            <w:tcW w:w="939" w:type="dxa"/>
            <w:tcBorders>
              <w:left w:val="nil"/>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.2.4</w:t>
            </w:r>
          </w:p>
        </w:tc>
      </w:tr>
      <w:tr>
        <w:tblPrEx>
          <w:tblCellMar>
            <w:top w:w="0" w:type="dxa"/>
            <w:left w:w="108" w:type="dxa"/>
            <w:bottom w:w="0" w:type="dxa"/>
            <w:right w:w="108" w:type="dxa"/>
          </w:tblCellMar>
        </w:tblPrEx>
        <w:trPr>
          <w:trHeight w:val="340" w:hRule="exact"/>
          <w:jc w:val="center"/>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4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水资源使用</w:t>
            </w: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基本要求</w:t>
            </w:r>
          </w:p>
        </w:tc>
        <w:tc>
          <w:tcPr>
            <w:tcW w:w="850" w:type="dxa"/>
            <w:tcBorders>
              <w:top w:val="nil"/>
              <w:left w:val="nil"/>
              <w:bottom w:val="single" w:color="auto" w:sz="4" w:space="0"/>
              <w:right w:val="single" w:color="auto" w:sz="4" w:space="0"/>
            </w:tcBorders>
            <w:shd w:val="clear" w:color="auto" w:fill="auto"/>
            <w:noWrap/>
            <w:vAlign w:val="center"/>
          </w:tcPr>
          <w:p>
            <w:pPr>
              <w:pStyle w:val="229"/>
              <w:jc w:val="center"/>
              <w:rPr>
                <w:sz w:val="18"/>
                <w:szCs w:val="18"/>
              </w:rPr>
            </w:pPr>
            <w:r>
              <w:rPr>
                <w:rFonts w:hint="eastAsia"/>
                <w:sz w:val="18"/>
                <w:szCs w:val="18"/>
              </w:rPr>
              <w:t>○</w:t>
            </w:r>
            <w:r>
              <w:rPr>
                <w:sz w:val="18"/>
                <w:szCs w:val="18"/>
              </w:rPr>
              <w:t xml:space="preserve"> </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restart"/>
            <w:tcBorders>
              <w:top w:val="nil"/>
              <w:left w:val="nil"/>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.3.1</w:t>
            </w: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水资源分项计量</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节水制度</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水资源使用效率（W</w:t>
            </w:r>
            <w:r>
              <w:rPr>
                <w:rFonts w:ascii="宋体" w:hAnsi="宋体" w:cs="宋体"/>
                <w:color w:val="000000"/>
                <w:kern w:val="0"/>
                <w:sz w:val="18"/>
                <w:szCs w:val="18"/>
              </w:rPr>
              <w:t>UE</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sz w:val="18"/>
                <w:szCs w:val="18"/>
              </w:rPr>
              <w:t>○</w:t>
            </w:r>
          </w:p>
        </w:tc>
        <w:tc>
          <w:tcPr>
            <w:tcW w:w="939" w:type="dxa"/>
            <w:vMerge w:val="continue"/>
            <w:tcBorders>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4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其他资源使用</w:t>
            </w: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资源种类识别</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restart"/>
            <w:tcBorders>
              <w:top w:val="nil"/>
              <w:left w:val="nil"/>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.3.2</w:t>
            </w: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节约</w:t>
            </w:r>
            <w:r>
              <w:rPr>
                <w:rFonts w:ascii="宋体" w:hAnsi="宋体" w:cs="宋体"/>
                <w:color w:val="000000"/>
                <w:kern w:val="0"/>
                <w:sz w:val="18"/>
                <w:szCs w:val="18"/>
              </w:rPr>
              <w:t>/优化效率措施</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持续改进</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sz w:val="18"/>
                <w:szCs w:val="18"/>
              </w:rPr>
              <w:t>○</w:t>
            </w:r>
          </w:p>
        </w:tc>
        <w:tc>
          <w:tcPr>
            <w:tcW w:w="939" w:type="dxa"/>
            <w:vMerge w:val="continue"/>
            <w:tcBorders>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4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资源循环利用</w:t>
            </w: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废弃电器电子产品处理</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restart"/>
            <w:tcBorders>
              <w:top w:val="nil"/>
              <w:left w:val="nil"/>
              <w:right w:val="single" w:color="auto" w:sz="4" w:space="0"/>
            </w:tcBorders>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.3.3</w:t>
            </w: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余热回收</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vMerge w:val="continue"/>
            <w:tcBorders>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0" w:hRule="exact"/>
          <w:jc w:val="center"/>
        </w:trPr>
        <w:tc>
          <w:tcPr>
            <w:tcW w:w="709" w:type="dxa"/>
            <w:vMerge w:val="restart"/>
            <w:tcBorders>
              <w:top w:val="single" w:color="auto" w:sz="4" w:space="0"/>
              <w:left w:val="single" w:color="auto" w:sz="4" w:space="0"/>
              <w:right w:val="single" w:color="auto" w:sz="4" w:space="0"/>
            </w:tcBorders>
            <w:vAlign w:val="center"/>
          </w:tcPr>
          <w:p>
            <w:pPr>
              <w:adjustRightInd/>
              <w:spacing w:line="240"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2410" w:type="dxa"/>
            <w:vMerge w:val="restart"/>
            <w:tcBorders>
              <w:top w:val="single" w:color="auto" w:sz="4" w:space="0"/>
              <w:left w:val="nil"/>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环境影响管理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废弃物处置</w:t>
            </w:r>
          </w:p>
        </w:tc>
        <w:tc>
          <w:tcPr>
            <w:tcW w:w="850" w:type="dxa"/>
            <w:tcBorders>
              <w:top w:val="nil"/>
              <w:left w:val="nil"/>
              <w:bottom w:val="single" w:color="auto" w:sz="4" w:space="0"/>
              <w:right w:val="single" w:color="auto" w:sz="4" w:space="0"/>
            </w:tcBorders>
            <w:shd w:val="clear" w:color="auto" w:fill="auto"/>
            <w:noWrap/>
            <w:vAlign w:val="center"/>
          </w:tcPr>
          <w:p>
            <w:pPr>
              <w:pStyle w:val="229"/>
              <w:jc w:val="center"/>
              <w:rPr>
                <w:sz w:val="18"/>
                <w:szCs w:val="18"/>
              </w:rPr>
            </w:pPr>
            <w:r>
              <w:rPr>
                <w:rFonts w:hint="eastAsia"/>
                <w:sz w:val="18"/>
                <w:szCs w:val="18"/>
              </w:rPr>
              <w:t>○</w:t>
            </w:r>
            <w:r>
              <w:rPr>
                <w:sz w:val="18"/>
                <w:szCs w:val="18"/>
              </w:rPr>
              <w:t xml:space="preserve"> </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tcBorders>
              <w:top w:val="nil"/>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.4.1</w:t>
            </w:r>
          </w:p>
        </w:tc>
      </w:tr>
      <w:tr>
        <w:tblPrEx>
          <w:tblCellMar>
            <w:top w:w="0" w:type="dxa"/>
            <w:left w:w="108" w:type="dxa"/>
            <w:bottom w:w="0" w:type="dxa"/>
            <w:right w:w="108" w:type="dxa"/>
          </w:tblCellMar>
        </w:tblPrEx>
        <w:trPr>
          <w:trHeight w:val="340" w:hRule="exact"/>
          <w:jc w:val="center"/>
        </w:trPr>
        <w:tc>
          <w:tcPr>
            <w:tcW w:w="709" w:type="dxa"/>
            <w:vMerge w:val="continue"/>
            <w:tcBorders>
              <w:left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p>
        </w:tc>
        <w:tc>
          <w:tcPr>
            <w:tcW w:w="2410" w:type="dxa"/>
            <w:vMerge w:val="continue"/>
            <w:tcBorders>
              <w:left w:val="nil"/>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有害物质控制</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tcBorders>
              <w:top w:val="nil"/>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.4.2</w:t>
            </w:r>
          </w:p>
        </w:tc>
      </w:tr>
      <w:tr>
        <w:tblPrEx>
          <w:tblCellMar>
            <w:top w:w="0" w:type="dxa"/>
            <w:left w:w="108" w:type="dxa"/>
            <w:bottom w:w="0" w:type="dxa"/>
            <w:right w:w="108" w:type="dxa"/>
          </w:tblCellMar>
        </w:tblPrEx>
        <w:trPr>
          <w:trHeight w:val="340" w:hRule="exact"/>
          <w:jc w:val="center"/>
        </w:trPr>
        <w:tc>
          <w:tcPr>
            <w:tcW w:w="709"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center"/>
              <w:rPr>
                <w:rFonts w:ascii="宋体" w:hAnsi="宋体" w:cs="宋体"/>
                <w:color w:val="000000"/>
                <w:kern w:val="0"/>
                <w:sz w:val="18"/>
                <w:szCs w:val="18"/>
              </w:rPr>
            </w:pPr>
          </w:p>
        </w:tc>
        <w:tc>
          <w:tcPr>
            <w:tcW w:w="2410" w:type="dxa"/>
            <w:vMerge w:val="continue"/>
            <w:tcBorders>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环境影响管理制度</w:t>
            </w:r>
          </w:p>
        </w:tc>
        <w:tc>
          <w:tcPr>
            <w:tcW w:w="850" w:type="dxa"/>
            <w:tcBorders>
              <w:top w:val="nil"/>
              <w:left w:val="nil"/>
              <w:bottom w:val="single" w:color="auto" w:sz="4" w:space="0"/>
              <w:right w:val="single" w:color="auto" w:sz="4" w:space="0"/>
            </w:tcBorders>
            <w:shd w:val="clear" w:color="auto" w:fill="auto"/>
            <w:noWrap/>
          </w:tcPr>
          <w:p>
            <w:pPr>
              <w:spacing w:line="240" w:lineRule="auto"/>
              <w:jc w:val="center"/>
              <w:rPr>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sz w:val="18"/>
                <w:szCs w:val="18"/>
              </w:rPr>
              <w:t>○</w:t>
            </w:r>
          </w:p>
        </w:tc>
        <w:tc>
          <w:tcPr>
            <w:tcW w:w="939" w:type="dxa"/>
            <w:tcBorders>
              <w:top w:val="nil"/>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.4.3</w:t>
            </w:r>
          </w:p>
        </w:tc>
      </w:tr>
      <w:tr>
        <w:tblPrEx>
          <w:tblCellMar>
            <w:top w:w="0" w:type="dxa"/>
            <w:left w:w="108" w:type="dxa"/>
            <w:bottom w:w="0" w:type="dxa"/>
            <w:right w:w="108" w:type="dxa"/>
          </w:tblCellMar>
        </w:tblPrEx>
        <w:trPr>
          <w:trHeight w:val="340" w:hRule="exact"/>
          <w:jc w:val="center"/>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4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相关方管理</w:t>
            </w:r>
          </w:p>
        </w:tc>
        <w:tc>
          <w:tcPr>
            <w:tcW w:w="241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供方管理</w:t>
            </w:r>
          </w:p>
        </w:tc>
        <w:tc>
          <w:tcPr>
            <w:tcW w:w="850" w:type="dxa"/>
            <w:tcBorders>
              <w:top w:val="nil"/>
              <w:left w:val="nil"/>
              <w:bottom w:val="single" w:color="auto" w:sz="4" w:space="0"/>
              <w:right w:val="single" w:color="auto" w:sz="4" w:space="0"/>
            </w:tcBorders>
            <w:shd w:val="clear" w:color="auto" w:fill="auto"/>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tcBorders>
              <w:top w:val="nil"/>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.5.1</w:t>
            </w: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客户及其他相关方</w:t>
            </w:r>
          </w:p>
        </w:tc>
        <w:tc>
          <w:tcPr>
            <w:tcW w:w="850" w:type="dxa"/>
            <w:tcBorders>
              <w:top w:val="nil"/>
              <w:left w:val="nil"/>
              <w:bottom w:val="single" w:color="auto" w:sz="4" w:space="0"/>
              <w:right w:val="single" w:color="auto" w:sz="4" w:space="0"/>
            </w:tcBorders>
            <w:shd w:val="clear" w:color="auto" w:fill="auto"/>
          </w:tcPr>
          <w:p>
            <w:pPr>
              <w:spacing w:line="240" w:lineRule="auto"/>
              <w:jc w:val="center"/>
            </w:pPr>
            <w:r>
              <w:rPr>
                <w:rFonts w:hint="eastAsia"/>
                <w:sz w:val="18"/>
                <w:szCs w:val="18"/>
              </w:rPr>
              <w:t>○</w:t>
            </w: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939" w:type="dxa"/>
            <w:tcBorders>
              <w:top w:val="nil"/>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.5.2</w:t>
            </w:r>
          </w:p>
        </w:tc>
      </w:tr>
      <w:tr>
        <w:tblPrEx>
          <w:tblCellMar>
            <w:top w:w="0" w:type="dxa"/>
            <w:left w:w="108" w:type="dxa"/>
            <w:bottom w:w="0" w:type="dxa"/>
            <w:right w:w="108" w:type="dxa"/>
          </w:tblCellMar>
        </w:tblPrEx>
        <w:trPr>
          <w:trHeight w:val="340" w:hRule="exac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cs="宋体"/>
                <w:color w:val="000000"/>
                <w:kern w:val="0"/>
                <w:sz w:val="18"/>
                <w:szCs w:val="18"/>
              </w:rPr>
            </w:pPr>
          </w:p>
        </w:tc>
        <w:tc>
          <w:tcPr>
            <w:tcW w:w="241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第三方服务</w:t>
            </w:r>
          </w:p>
        </w:tc>
        <w:tc>
          <w:tcPr>
            <w:tcW w:w="850"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宋体" w:hAnsi="宋体" w:cs="宋体"/>
                <w:color w:val="000000"/>
                <w:kern w:val="0"/>
                <w:sz w:val="18"/>
                <w:szCs w:val="18"/>
              </w:rPr>
            </w:pPr>
            <w:r>
              <w:rPr>
                <w:rFonts w:hint="eastAsia"/>
                <w:sz w:val="18"/>
                <w:szCs w:val="18"/>
              </w:rPr>
              <w:t>○</w:t>
            </w:r>
          </w:p>
        </w:tc>
        <w:tc>
          <w:tcPr>
            <w:tcW w:w="939" w:type="dxa"/>
            <w:tcBorders>
              <w:top w:val="nil"/>
              <w:left w:val="nil"/>
              <w:bottom w:val="single" w:color="auto" w:sz="4" w:space="0"/>
              <w:right w:val="single" w:color="auto" w:sz="4" w:space="0"/>
            </w:tcBorders>
          </w:tcPr>
          <w:p>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.5.3</w:t>
            </w:r>
          </w:p>
        </w:tc>
      </w:tr>
      <w:tr>
        <w:tblPrEx>
          <w:tblCellMar>
            <w:top w:w="0" w:type="dxa"/>
            <w:left w:w="108" w:type="dxa"/>
            <w:bottom w:w="0" w:type="dxa"/>
            <w:right w:w="108" w:type="dxa"/>
          </w:tblCellMar>
        </w:tblPrEx>
        <w:trPr>
          <w:trHeight w:val="1270" w:hRule="exact"/>
          <w:jc w:val="center"/>
        </w:trPr>
        <w:tc>
          <w:tcPr>
            <w:tcW w:w="8169" w:type="dxa"/>
            <w:gridSpan w:val="6"/>
            <w:tcBorders>
              <w:top w:val="single" w:color="auto" w:sz="4" w:space="0"/>
              <w:left w:val="single" w:color="auto" w:sz="4" w:space="0"/>
              <w:bottom w:val="single" w:color="auto" w:sz="4" w:space="0"/>
              <w:right w:val="single" w:color="auto" w:sz="4" w:space="0"/>
            </w:tcBorders>
            <w:vAlign w:val="center"/>
          </w:tcPr>
          <w:p>
            <w:pPr>
              <w:pStyle w:val="231"/>
              <w:ind w:firstLine="360"/>
              <w:rPr>
                <w:rFonts w:ascii="宋体" w:hAnsi="宋体" w:cs="宋体"/>
                <w:color w:val="000000"/>
                <w:sz w:val="18"/>
                <w:szCs w:val="18"/>
              </w:rPr>
            </w:pPr>
            <w:r>
              <w:rPr>
                <w:rFonts w:hint="eastAsia" w:ascii="黑体" w:hAnsi="黑体" w:eastAsia="黑体"/>
                <w:sz w:val="18"/>
                <w:szCs w:val="16"/>
              </w:rPr>
              <w:t>注：</w:t>
            </w:r>
            <w:r>
              <w:rPr>
                <w:rFonts w:ascii="宋体" w:hAnsi="宋体" w:cs="宋体"/>
                <w:color w:val="000000"/>
                <w:sz w:val="18"/>
                <w:szCs w:val="18"/>
              </w:rPr>
              <w:t xml:space="preserve"> </w:t>
            </w:r>
          </w:p>
          <w:p>
            <w:pPr>
              <w:pStyle w:val="231"/>
              <w:numPr>
                <w:ilvl w:val="0"/>
                <w:numId w:val="38"/>
              </w:numPr>
              <w:ind w:firstLineChars="0"/>
              <w:rPr>
                <w:rFonts w:ascii="宋体" w:hAnsi="宋体" w:cs="宋体"/>
                <w:color w:val="000000"/>
                <w:sz w:val="18"/>
                <w:szCs w:val="18"/>
              </w:rPr>
            </w:pPr>
            <w:r>
              <w:rPr>
                <w:rFonts w:hint="eastAsia" w:ascii="宋体" w:hAnsi="宋体" w:cs="宋体"/>
                <w:color w:val="000000"/>
                <w:sz w:val="18"/>
                <w:szCs w:val="18"/>
              </w:rPr>
              <w:t>本表中的A类指标为基础指标，B类指标为加分指标。</w:t>
            </w:r>
          </w:p>
          <w:p>
            <w:pPr>
              <w:pStyle w:val="231"/>
              <w:numPr>
                <w:ilvl w:val="0"/>
                <w:numId w:val="38"/>
              </w:numPr>
              <w:ind w:firstLineChars="0"/>
              <w:rPr>
                <w:rFonts w:hint="eastAsia" w:ascii="宋体" w:hAnsi="宋体" w:cs="宋体"/>
                <w:color w:val="000000"/>
                <w:sz w:val="18"/>
                <w:szCs w:val="18"/>
              </w:rPr>
            </w:pPr>
            <w:r>
              <w:rPr>
                <w:rFonts w:hint="eastAsia" w:ascii="宋体" w:hAnsi="宋体" w:cs="宋体"/>
                <w:color w:val="000000"/>
                <w:sz w:val="18"/>
                <w:szCs w:val="18"/>
              </w:rPr>
              <w:t>本表仅作为绿色数据中心评价指标体系的一种参考，在实际评价工作中，可根据具体需求和规定对指标类型、权重、分值等进行必要地合理调整。</w:t>
            </w:r>
          </w:p>
          <w:p>
            <w:pPr>
              <w:widowControl/>
              <w:adjustRightInd/>
              <w:spacing w:line="240" w:lineRule="auto"/>
              <w:jc w:val="left"/>
              <w:rPr>
                <w:rFonts w:hint="eastAsia" w:ascii="宋体" w:hAnsi="宋体" w:cs="宋体"/>
                <w:color w:val="000000"/>
                <w:kern w:val="0"/>
                <w:sz w:val="18"/>
                <w:szCs w:val="18"/>
              </w:rPr>
            </w:pPr>
          </w:p>
        </w:tc>
      </w:tr>
    </w:tbl>
    <w:p>
      <w:pPr>
        <w:pStyle w:val="57"/>
        <w:ind w:firstLine="0" w:firstLineChars="0"/>
        <w:jc w:val="center"/>
      </w:pPr>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30CBC"/>
    <w:multiLevelType w:val="multilevel"/>
    <w:tmpl w:val="00F30C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AFE6EFA"/>
    <w:multiLevelType w:val="multilevel"/>
    <w:tmpl w:val="0AFE6EFA"/>
    <w:lvl w:ilvl="0" w:tentative="0">
      <w:start w:val="1"/>
      <w:numFmt w:val="decimal"/>
      <w:lvlText w:val="%1)"/>
      <w:lvlJc w:val="left"/>
      <w:pPr>
        <w:ind w:left="840" w:hanging="420"/>
      </w:pPr>
      <w:rPr>
        <w:rFonts w:hint="default"/>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0E7F433C"/>
    <w:multiLevelType w:val="multilevel"/>
    <w:tmpl w:val="0E7F433C"/>
    <w:lvl w:ilvl="0" w:tentative="0">
      <w:start w:val="1"/>
      <w:numFmt w:val="decimal"/>
      <w:pStyle w:val="240"/>
      <w:lvlText w:val="%1)"/>
      <w:lvlJc w:val="left"/>
      <w:pPr>
        <w:tabs>
          <w:tab w:val="left" w:pos="840"/>
        </w:tabs>
        <w:ind w:left="839" w:hanging="419"/>
      </w:pPr>
      <w:rPr>
        <w:rFonts w:hint="default"/>
        <w:b w:val="0"/>
        <w:i w:val="0"/>
        <w:sz w:val="21"/>
        <w:szCs w:val="21"/>
      </w:rPr>
    </w:lvl>
    <w:lvl w:ilvl="1" w:tentative="0">
      <w:start w:val="1"/>
      <w:numFmt w:val="decimal"/>
      <w:pStyle w:val="239"/>
      <w:lvlText w:val="%2)"/>
      <w:lvlJc w:val="left"/>
      <w:pPr>
        <w:tabs>
          <w:tab w:val="left" w:pos="1260"/>
        </w:tabs>
        <w:ind w:left="1259" w:hanging="419"/>
      </w:pPr>
      <w:rPr>
        <w:rFonts w:hint="default" w:ascii="Times New Roman" w:hAnsi="Times New Roman" w:cs="Times New Roman"/>
      </w:rPr>
    </w:lvl>
    <w:lvl w:ilvl="2" w:tentative="0">
      <w:start w:val="1"/>
      <w:numFmt w:val="decimal"/>
      <w:pStyle w:val="24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12F0798"/>
    <w:multiLevelType w:val="multilevel"/>
    <w:tmpl w:val="312F079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97B6937"/>
    <w:multiLevelType w:val="multilevel"/>
    <w:tmpl w:val="397B6937"/>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F00466C"/>
    <w:multiLevelType w:val="multilevel"/>
    <w:tmpl w:val="5F00466C"/>
    <w:lvl w:ilvl="0" w:tentative="0">
      <w:start w:val="1"/>
      <w:numFmt w:val="decimal"/>
      <w:lvlText w:val="%1)"/>
      <w:lvlJc w:val="left"/>
      <w:pPr>
        <w:tabs>
          <w:tab w:val="left" w:pos="840"/>
        </w:tabs>
        <w:ind w:left="839" w:hanging="419"/>
      </w:pPr>
      <w:rPr>
        <w:rFonts w:hint="default"/>
        <w:b w:val="0"/>
        <w:i w:val="0"/>
        <w:sz w:val="21"/>
        <w:szCs w:val="21"/>
      </w:rPr>
    </w:lvl>
    <w:lvl w:ilvl="1" w:tentative="0">
      <w:start w:val="1"/>
      <w:numFmt w:val="decimal"/>
      <w:lvlText w:val="%2)"/>
      <w:lvlJc w:val="left"/>
      <w:pPr>
        <w:tabs>
          <w:tab w:val="left" w:pos="1260"/>
        </w:tabs>
        <w:ind w:left="1259" w:hanging="419"/>
      </w:pPr>
      <w:rPr>
        <w:rFonts w:hint="default" w:ascii="Times New Roman" w:hAnsi="Times New Roman" w:cs="Times New Roman"/>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EF422E3"/>
    <w:multiLevelType w:val="multilevel"/>
    <w:tmpl w:val="7EF422E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3"/>
  </w:num>
  <w:num w:numId="3">
    <w:abstractNumId w:val="7"/>
  </w:num>
  <w:num w:numId="4">
    <w:abstractNumId w:val="29"/>
  </w:num>
  <w:num w:numId="5">
    <w:abstractNumId w:val="23"/>
  </w:num>
  <w:num w:numId="6">
    <w:abstractNumId w:val="18"/>
  </w:num>
  <w:num w:numId="7">
    <w:abstractNumId w:val="11"/>
  </w:num>
  <w:num w:numId="8">
    <w:abstractNumId w:val="4"/>
  </w:num>
  <w:num w:numId="9">
    <w:abstractNumId w:val="12"/>
  </w:num>
  <w:num w:numId="10">
    <w:abstractNumId w:val="21"/>
  </w:num>
  <w:num w:numId="11">
    <w:abstractNumId w:val="31"/>
  </w:num>
  <w:num w:numId="12">
    <w:abstractNumId w:val="15"/>
  </w:num>
  <w:num w:numId="13">
    <w:abstractNumId w:val="17"/>
  </w:num>
  <w:num w:numId="14">
    <w:abstractNumId w:val="10"/>
  </w:num>
  <w:num w:numId="15">
    <w:abstractNumId w:val="24"/>
  </w:num>
  <w:num w:numId="16">
    <w:abstractNumId w:val="27"/>
  </w:num>
  <w:num w:numId="17">
    <w:abstractNumId w:val="22"/>
  </w:num>
  <w:num w:numId="18">
    <w:abstractNumId w:val="35"/>
  </w:num>
  <w:num w:numId="19">
    <w:abstractNumId w:val="20"/>
  </w:num>
  <w:num w:numId="20">
    <w:abstractNumId w:val="2"/>
  </w:num>
  <w:num w:numId="21">
    <w:abstractNumId w:val="13"/>
  </w:num>
  <w:num w:numId="22">
    <w:abstractNumId w:val="36"/>
  </w:num>
  <w:num w:numId="23">
    <w:abstractNumId w:val="26"/>
  </w:num>
  <w:num w:numId="24">
    <w:abstractNumId w:val="8"/>
  </w:num>
  <w:num w:numId="25">
    <w:abstractNumId w:val="32"/>
  </w:num>
  <w:num w:numId="26">
    <w:abstractNumId w:val="34"/>
  </w:num>
  <w:num w:numId="27">
    <w:abstractNumId w:val="3"/>
  </w:num>
  <w:num w:numId="28">
    <w:abstractNumId w:val="5"/>
  </w:num>
  <w:num w:numId="29">
    <w:abstractNumId w:val="19"/>
  </w:num>
  <w:num w:numId="30">
    <w:abstractNumId w:val="30"/>
  </w:num>
  <w:num w:numId="31">
    <w:abstractNumId w:val="28"/>
  </w:num>
  <w:num w:numId="32">
    <w:abstractNumId w:val="9"/>
  </w:num>
  <w:num w:numId="33">
    <w:abstractNumId w:val="25"/>
  </w:num>
  <w:num w:numId="34">
    <w:abstractNumId w:val="14"/>
  </w:num>
  <w:num w:numId="35">
    <w:abstractNumId w:val="6"/>
  </w:num>
  <w:num w:numId="36">
    <w:abstractNumId w:val="37"/>
  </w:num>
  <w:num w:numId="37">
    <w:abstractNumId w:val="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BXh7v+XlQEN/FUbkmXTPVE37HOnZ6dJh7UnSrjfygBzCKI8ejfTMwdfCbmE/HDtCVW4I3A5ACNaYzntUzHkCjQ==" w:salt="OtYm9KZBuf1XLcVHF3LiE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NLSwNDMxNzEyMDBQ0lEKTi0uzszPAykwNKoFAHlN+98tAAAA"/>
    <w:docVar w:name="commondata" w:val="eyJoZGlkIjoiYjY3NjhkZDY0OTc1MmE3ZTQyODQzMzUyNGZjNTI1NjQifQ=="/>
  </w:docVars>
  <w:rsids>
    <w:rsidRoot w:val="002D790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674"/>
    <w:rsid w:val="00060C2E"/>
    <w:rsid w:val="00061033"/>
    <w:rsid w:val="000619E9"/>
    <w:rsid w:val="000622D4"/>
    <w:rsid w:val="0006357D"/>
    <w:rsid w:val="00067F1E"/>
    <w:rsid w:val="00071CC0"/>
    <w:rsid w:val="00073C8C"/>
    <w:rsid w:val="000759C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673"/>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B68"/>
    <w:rsid w:val="000E4C9E"/>
    <w:rsid w:val="000E6FD7"/>
    <w:rsid w:val="000F06E1"/>
    <w:rsid w:val="000F0E3C"/>
    <w:rsid w:val="000F19D5"/>
    <w:rsid w:val="000F4AEA"/>
    <w:rsid w:val="000F633F"/>
    <w:rsid w:val="000F67E9"/>
    <w:rsid w:val="00104926"/>
    <w:rsid w:val="00106BA9"/>
    <w:rsid w:val="00113B1E"/>
    <w:rsid w:val="00114977"/>
    <w:rsid w:val="0011711C"/>
    <w:rsid w:val="0012059C"/>
    <w:rsid w:val="00122433"/>
    <w:rsid w:val="00124E4F"/>
    <w:rsid w:val="001260B7"/>
    <w:rsid w:val="001265CB"/>
    <w:rsid w:val="00130B47"/>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282"/>
    <w:rsid w:val="001852C9"/>
    <w:rsid w:val="00187AE0"/>
    <w:rsid w:val="00190087"/>
    <w:rsid w:val="001913C4"/>
    <w:rsid w:val="0019348F"/>
    <w:rsid w:val="00193A07"/>
    <w:rsid w:val="00194C95"/>
    <w:rsid w:val="00195C34"/>
    <w:rsid w:val="00196EF5"/>
    <w:rsid w:val="001A1A53"/>
    <w:rsid w:val="001A234A"/>
    <w:rsid w:val="001A4CF3"/>
    <w:rsid w:val="001B06E8"/>
    <w:rsid w:val="001B4E07"/>
    <w:rsid w:val="001B71D0"/>
    <w:rsid w:val="001B71EE"/>
    <w:rsid w:val="001C04A8"/>
    <w:rsid w:val="001C0D18"/>
    <w:rsid w:val="001C2C03"/>
    <w:rsid w:val="001C42F7"/>
    <w:rsid w:val="001C49E5"/>
    <w:rsid w:val="001C680C"/>
    <w:rsid w:val="001C7FEA"/>
    <w:rsid w:val="001D0499"/>
    <w:rsid w:val="001D0BBE"/>
    <w:rsid w:val="001D0ED4"/>
    <w:rsid w:val="001D212F"/>
    <w:rsid w:val="001D29D7"/>
    <w:rsid w:val="001D2DE7"/>
    <w:rsid w:val="001D411C"/>
    <w:rsid w:val="001E07F5"/>
    <w:rsid w:val="001E1B6A"/>
    <w:rsid w:val="001E2484"/>
    <w:rsid w:val="001E3CC4"/>
    <w:rsid w:val="001E4882"/>
    <w:rsid w:val="001E73AB"/>
    <w:rsid w:val="001F092D"/>
    <w:rsid w:val="001F143A"/>
    <w:rsid w:val="001F1605"/>
    <w:rsid w:val="001F2508"/>
    <w:rsid w:val="001F4816"/>
    <w:rsid w:val="001F4EE9"/>
    <w:rsid w:val="001F5D58"/>
    <w:rsid w:val="001F69B4"/>
    <w:rsid w:val="001F77C7"/>
    <w:rsid w:val="00200183"/>
    <w:rsid w:val="00200333"/>
    <w:rsid w:val="0020107D"/>
    <w:rsid w:val="00202AA4"/>
    <w:rsid w:val="002031F7"/>
    <w:rsid w:val="00203CDD"/>
    <w:rsid w:val="002040E6"/>
    <w:rsid w:val="0020527B"/>
    <w:rsid w:val="00205DC7"/>
    <w:rsid w:val="00205F2C"/>
    <w:rsid w:val="00210B15"/>
    <w:rsid w:val="002142EA"/>
    <w:rsid w:val="002204BB"/>
    <w:rsid w:val="00221B79"/>
    <w:rsid w:val="00221C6B"/>
    <w:rsid w:val="002253A1"/>
    <w:rsid w:val="00225CF8"/>
    <w:rsid w:val="0022794E"/>
    <w:rsid w:val="002338CB"/>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42C"/>
    <w:rsid w:val="00277D02"/>
    <w:rsid w:val="00281BB8"/>
    <w:rsid w:val="00281E9E"/>
    <w:rsid w:val="00282405"/>
    <w:rsid w:val="00285170"/>
    <w:rsid w:val="00285361"/>
    <w:rsid w:val="00292D60"/>
    <w:rsid w:val="00293B30"/>
    <w:rsid w:val="00293E39"/>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B39"/>
    <w:rsid w:val="002A6689"/>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0C"/>
    <w:rsid w:val="002D79AC"/>
    <w:rsid w:val="002E039D"/>
    <w:rsid w:val="002E4D5A"/>
    <w:rsid w:val="002E6326"/>
    <w:rsid w:val="002F30E0"/>
    <w:rsid w:val="002F35E4"/>
    <w:rsid w:val="002F3730"/>
    <w:rsid w:val="002F38E1"/>
    <w:rsid w:val="002F7AF6"/>
    <w:rsid w:val="002F7C8A"/>
    <w:rsid w:val="00300E63"/>
    <w:rsid w:val="00302F5F"/>
    <w:rsid w:val="00302FC4"/>
    <w:rsid w:val="0030441D"/>
    <w:rsid w:val="00306063"/>
    <w:rsid w:val="00313B85"/>
    <w:rsid w:val="00317988"/>
    <w:rsid w:val="003221B4"/>
    <w:rsid w:val="0032258D"/>
    <w:rsid w:val="00322E62"/>
    <w:rsid w:val="00324D13"/>
    <w:rsid w:val="00324D2A"/>
    <w:rsid w:val="00324EDD"/>
    <w:rsid w:val="00332456"/>
    <w:rsid w:val="003331E4"/>
    <w:rsid w:val="00336C64"/>
    <w:rsid w:val="00337162"/>
    <w:rsid w:val="0034194F"/>
    <w:rsid w:val="00344605"/>
    <w:rsid w:val="00344ACB"/>
    <w:rsid w:val="003474AA"/>
    <w:rsid w:val="00350D1D"/>
    <w:rsid w:val="00352C83"/>
    <w:rsid w:val="0035407D"/>
    <w:rsid w:val="003615D2"/>
    <w:rsid w:val="0036429C"/>
    <w:rsid w:val="00364A53"/>
    <w:rsid w:val="003654CB"/>
    <w:rsid w:val="00365AA9"/>
    <w:rsid w:val="00365F86"/>
    <w:rsid w:val="00365F87"/>
    <w:rsid w:val="00366E89"/>
    <w:rsid w:val="003705F4"/>
    <w:rsid w:val="00370D58"/>
    <w:rsid w:val="00371316"/>
    <w:rsid w:val="00371C3C"/>
    <w:rsid w:val="0037419D"/>
    <w:rsid w:val="00376713"/>
    <w:rsid w:val="00380FA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0B0"/>
    <w:rsid w:val="00395700"/>
    <w:rsid w:val="003974EB"/>
    <w:rsid w:val="00397CC5"/>
    <w:rsid w:val="003A1582"/>
    <w:rsid w:val="003A4077"/>
    <w:rsid w:val="003B09AD"/>
    <w:rsid w:val="003B1F18"/>
    <w:rsid w:val="003B53D7"/>
    <w:rsid w:val="003B5BF0"/>
    <w:rsid w:val="003B60BF"/>
    <w:rsid w:val="003B6BE3"/>
    <w:rsid w:val="003C010C"/>
    <w:rsid w:val="003C0A6C"/>
    <w:rsid w:val="003C14F8"/>
    <w:rsid w:val="003C5A43"/>
    <w:rsid w:val="003D0519"/>
    <w:rsid w:val="003D0FF6"/>
    <w:rsid w:val="003D262C"/>
    <w:rsid w:val="003D5EC0"/>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68B"/>
    <w:rsid w:val="00405884"/>
    <w:rsid w:val="00406209"/>
    <w:rsid w:val="00407D39"/>
    <w:rsid w:val="00413787"/>
    <w:rsid w:val="0041477A"/>
    <w:rsid w:val="004150EB"/>
    <w:rsid w:val="004167A3"/>
    <w:rsid w:val="00430568"/>
    <w:rsid w:val="00432DAA"/>
    <w:rsid w:val="00434305"/>
    <w:rsid w:val="00435DF7"/>
    <w:rsid w:val="0044083F"/>
    <w:rsid w:val="00441AE7"/>
    <w:rsid w:val="00445574"/>
    <w:rsid w:val="004467FB"/>
    <w:rsid w:val="00451248"/>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9BF"/>
    <w:rsid w:val="004A12DF"/>
    <w:rsid w:val="004A17E6"/>
    <w:rsid w:val="004A1BA8"/>
    <w:rsid w:val="004A4B57"/>
    <w:rsid w:val="004A63FA"/>
    <w:rsid w:val="004A6C27"/>
    <w:rsid w:val="004B0272"/>
    <w:rsid w:val="004B0798"/>
    <w:rsid w:val="004B2701"/>
    <w:rsid w:val="004B29D0"/>
    <w:rsid w:val="004B2E1B"/>
    <w:rsid w:val="004B3AA8"/>
    <w:rsid w:val="004B3E93"/>
    <w:rsid w:val="004B7385"/>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C3B"/>
    <w:rsid w:val="004F391A"/>
    <w:rsid w:val="004F3CFB"/>
    <w:rsid w:val="004F6456"/>
    <w:rsid w:val="004F696E"/>
    <w:rsid w:val="004F6C71"/>
    <w:rsid w:val="00501139"/>
    <w:rsid w:val="0050363E"/>
    <w:rsid w:val="005039BC"/>
    <w:rsid w:val="005043BB"/>
    <w:rsid w:val="00504A3D"/>
    <w:rsid w:val="00505767"/>
    <w:rsid w:val="00506BB3"/>
    <w:rsid w:val="005073F0"/>
    <w:rsid w:val="00510A7B"/>
    <w:rsid w:val="00512F6E"/>
    <w:rsid w:val="00513038"/>
    <w:rsid w:val="00514174"/>
    <w:rsid w:val="00516088"/>
    <w:rsid w:val="00516B0B"/>
    <w:rsid w:val="005217FA"/>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9F8"/>
    <w:rsid w:val="005479DA"/>
    <w:rsid w:val="00547BCC"/>
    <w:rsid w:val="0055013B"/>
    <w:rsid w:val="00551F6F"/>
    <w:rsid w:val="00555044"/>
    <w:rsid w:val="00561475"/>
    <w:rsid w:val="00563F1B"/>
    <w:rsid w:val="0056487B"/>
    <w:rsid w:val="00564FB9"/>
    <w:rsid w:val="00573D9E"/>
    <w:rsid w:val="005801E3"/>
    <w:rsid w:val="005811F1"/>
    <w:rsid w:val="00581802"/>
    <w:rsid w:val="005836A8"/>
    <w:rsid w:val="0058409C"/>
    <w:rsid w:val="00584262"/>
    <w:rsid w:val="00584867"/>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D58"/>
    <w:rsid w:val="00631379"/>
    <w:rsid w:val="006313E0"/>
    <w:rsid w:val="00632182"/>
    <w:rsid w:val="00632AE0"/>
    <w:rsid w:val="00633C17"/>
    <w:rsid w:val="00634D9E"/>
    <w:rsid w:val="00636E3E"/>
    <w:rsid w:val="006379F7"/>
    <w:rsid w:val="00637E4D"/>
    <w:rsid w:val="00640620"/>
    <w:rsid w:val="00641A1F"/>
    <w:rsid w:val="00645904"/>
    <w:rsid w:val="00651ACB"/>
    <w:rsid w:val="00651AFE"/>
    <w:rsid w:val="00651C47"/>
    <w:rsid w:val="00652AB2"/>
    <w:rsid w:val="00653FED"/>
    <w:rsid w:val="00654EC0"/>
    <w:rsid w:val="0065525B"/>
    <w:rsid w:val="00655D4F"/>
    <w:rsid w:val="00656D29"/>
    <w:rsid w:val="00661A7A"/>
    <w:rsid w:val="006640E5"/>
    <w:rsid w:val="006646F1"/>
    <w:rsid w:val="00664929"/>
    <w:rsid w:val="00664F62"/>
    <w:rsid w:val="006655E1"/>
    <w:rsid w:val="00672060"/>
    <w:rsid w:val="00672BFD"/>
    <w:rsid w:val="00674981"/>
    <w:rsid w:val="006770F4"/>
    <w:rsid w:val="00677A84"/>
    <w:rsid w:val="0068026D"/>
    <w:rsid w:val="00680A27"/>
    <w:rsid w:val="006816A4"/>
    <w:rsid w:val="006819B8"/>
    <w:rsid w:val="006840A6"/>
    <w:rsid w:val="006850CD"/>
    <w:rsid w:val="00685AAB"/>
    <w:rsid w:val="00692901"/>
    <w:rsid w:val="00695D22"/>
    <w:rsid w:val="006A07AA"/>
    <w:rsid w:val="006A25E5"/>
    <w:rsid w:val="006A2B46"/>
    <w:rsid w:val="006A336D"/>
    <w:rsid w:val="006A37B9"/>
    <w:rsid w:val="006B2672"/>
    <w:rsid w:val="006B54BF"/>
    <w:rsid w:val="006B5F44"/>
    <w:rsid w:val="006B5F90"/>
    <w:rsid w:val="006B62E4"/>
    <w:rsid w:val="006C1BBA"/>
    <w:rsid w:val="006C2079"/>
    <w:rsid w:val="006C4549"/>
    <w:rsid w:val="006C4BEA"/>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6667"/>
    <w:rsid w:val="007002C5"/>
    <w:rsid w:val="00704387"/>
    <w:rsid w:val="00707669"/>
    <w:rsid w:val="00710261"/>
    <w:rsid w:val="00711CBA"/>
    <w:rsid w:val="00711FB5"/>
    <w:rsid w:val="00712A01"/>
    <w:rsid w:val="00714C89"/>
    <w:rsid w:val="00714F58"/>
    <w:rsid w:val="00722FBF"/>
    <w:rsid w:val="00722FC2"/>
    <w:rsid w:val="00724879"/>
    <w:rsid w:val="00724E1B"/>
    <w:rsid w:val="00725949"/>
    <w:rsid w:val="00727FA2"/>
    <w:rsid w:val="007315E8"/>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797"/>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693"/>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0A37"/>
    <w:rsid w:val="007D1352"/>
    <w:rsid w:val="007D2508"/>
    <w:rsid w:val="007D346A"/>
    <w:rsid w:val="007D6518"/>
    <w:rsid w:val="007D76BD"/>
    <w:rsid w:val="007E0BF1"/>
    <w:rsid w:val="007F0ED8"/>
    <w:rsid w:val="007F0F63"/>
    <w:rsid w:val="007F75CE"/>
    <w:rsid w:val="008013A4"/>
    <w:rsid w:val="008027CE"/>
    <w:rsid w:val="00802F42"/>
    <w:rsid w:val="00804383"/>
    <w:rsid w:val="00804A21"/>
    <w:rsid w:val="00804BB7"/>
    <w:rsid w:val="00804D41"/>
    <w:rsid w:val="00810257"/>
    <w:rsid w:val="008104F5"/>
    <w:rsid w:val="00811072"/>
    <w:rsid w:val="00811369"/>
    <w:rsid w:val="00814464"/>
    <w:rsid w:val="00815419"/>
    <w:rsid w:val="008163C8"/>
    <w:rsid w:val="008164A1"/>
    <w:rsid w:val="00817325"/>
    <w:rsid w:val="008209E6"/>
    <w:rsid w:val="00823303"/>
    <w:rsid w:val="008233B2"/>
    <w:rsid w:val="00823A9F"/>
    <w:rsid w:val="00823C85"/>
    <w:rsid w:val="00825138"/>
    <w:rsid w:val="008269DD"/>
    <w:rsid w:val="00830621"/>
    <w:rsid w:val="0083348C"/>
    <w:rsid w:val="008344E1"/>
    <w:rsid w:val="008373D3"/>
    <w:rsid w:val="00840617"/>
    <w:rsid w:val="00840F84"/>
    <w:rsid w:val="00842A47"/>
    <w:rsid w:val="00843C13"/>
    <w:rsid w:val="008454F8"/>
    <w:rsid w:val="0085173A"/>
    <w:rsid w:val="00855F68"/>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5A7"/>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B46"/>
    <w:rsid w:val="00911BE5"/>
    <w:rsid w:val="00913CA9"/>
    <w:rsid w:val="009145AE"/>
    <w:rsid w:val="009146CE"/>
    <w:rsid w:val="00914CA7"/>
    <w:rsid w:val="00915C3E"/>
    <w:rsid w:val="009161A8"/>
    <w:rsid w:val="009245F5"/>
    <w:rsid w:val="009249EC"/>
    <w:rsid w:val="009273B3"/>
    <w:rsid w:val="009305B5"/>
    <w:rsid w:val="009410FF"/>
    <w:rsid w:val="009429D5"/>
    <w:rsid w:val="00942BF1"/>
    <w:rsid w:val="00943807"/>
    <w:rsid w:val="00945180"/>
    <w:rsid w:val="00945428"/>
    <w:rsid w:val="0094607B"/>
    <w:rsid w:val="00953604"/>
    <w:rsid w:val="0095496B"/>
    <w:rsid w:val="009610DC"/>
    <w:rsid w:val="00961490"/>
    <w:rsid w:val="0096197E"/>
    <w:rsid w:val="0096381A"/>
    <w:rsid w:val="00965E04"/>
    <w:rsid w:val="009674AD"/>
    <w:rsid w:val="00970CDC"/>
    <w:rsid w:val="00977010"/>
    <w:rsid w:val="00977D02"/>
    <w:rsid w:val="009809BB"/>
    <w:rsid w:val="0098364B"/>
    <w:rsid w:val="0098619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A55"/>
    <w:rsid w:val="009B0559"/>
    <w:rsid w:val="009B09E0"/>
    <w:rsid w:val="009B0BC5"/>
    <w:rsid w:val="009B1247"/>
    <w:rsid w:val="009B1B85"/>
    <w:rsid w:val="009B2E47"/>
    <w:rsid w:val="009B6029"/>
    <w:rsid w:val="009B6971"/>
    <w:rsid w:val="009C27F1"/>
    <w:rsid w:val="009C3152"/>
    <w:rsid w:val="009C4CFA"/>
    <w:rsid w:val="009C5070"/>
    <w:rsid w:val="009D112C"/>
    <w:rsid w:val="009D2B70"/>
    <w:rsid w:val="009D47FA"/>
    <w:rsid w:val="009D4C5B"/>
    <w:rsid w:val="009D50D2"/>
    <w:rsid w:val="009D6BCA"/>
    <w:rsid w:val="009E0F62"/>
    <w:rsid w:val="009E4A58"/>
    <w:rsid w:val="009E5A2D"/>
    <w:rsid w:val="009E5AB2"/>
    <w:rsid w:val="009E6219"/>
    <w:rsid w:val="009E76FB"/>
    <w:rsid w:val="009F03B3"/>
    <w:rsid w:val="00A0096C"/>
    <w:rsid w:val="00A01757"/>
    <w:rsid w:val="00A028C0"/>
    <w:rsid w:val="00A02BAE"/>
    <w:rsid w:val="00A04DC8"/>
    <w:rsid w:val="00A06A6B"/>
    <w:rsid w:val="00A07E47"/>
    <w:rsid w:val="00A129D0"/>
    <w:rsid w:val="00A12C33"/>
    <w:rsid w:val="00A138BA"/>
    <w:rsid w:val="00A14C8E"/>
    <w:rsid w:val="00A153D9"/>
    <w:rsid w:val="00A15F09"/>
    <w:rsid w:val="00A169B6"/>
    <w:rsid w:val="00A2271D"/>
    <w:rsid w:val="00A237D5"/>
    <w:rsid w:val="00A30EFC"/>
    <w:rsid w:val="00A310CC"/>
    <w:rsid w:val="00A31984"/>
    <w:rsid w:val="00A32D73"/>
    <w:rsid w:val="00A3367B"/>
    <w:rsid w:val="00A3414F"/>
    <w:rsid w:val="00A3597D"/>
    <w:rsid w:val="00A36DD1"/>
    <w:rsid w:val="00A4006C"/>
    <w:rsid w:val="00A40091"/>
    <w:rsid w:val="00A4030F"/>
    <w:rsid w:val="00A4146E"/>
    <w:rsid w:val="00A41C79"/>
    <w:rsid w:val="00A41CB5"/>
    <w:rsid w:val="00A42CDF"/>
    <w:rsid w:val="00A4452E"/>
    <w:rsid w:val="00A4472C"/>
    <w:rsid w:val="00A44E69"/>
    <w:rsid w:val="00A4661E"/>
    <w:rsid w:val="00A551BE"/>
    <w:rsid w:val="00A55BD6"/>
    <w:rsid w:val="00A55D50"/>
    <w:rsid w:val="00A57142"/>
    <w:rsid w:val="00A648CD"/>
    <w:rsid w:val="00A6537A"/>
    <w:rsid w:val="00A65EE7"/>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B73"/>
    <w:rsid w:val="00AB41D5"/>
    <w:rsid w:val="00AB6309"/>
    <w:rsid w:val="00AB6C5F"/>
    <w:rsid w:val="00AB7129"/>
    <w:rsid w:val="00AB7323"/>
    <w:rsid w:val="00AB7A8D"/>
    <w:rsid w:val="00AC27A6"/>
    <w:rsid w:val="00AC30F7"/>
    <w:rsid w:val="00AC3A5A"/>
    <w:rsid w:val="00AC4D95"/>
    <w:rsid w:val="00AC5DF4"/>
    <w:rsid w:val="00AD0AEF"/>
    <w:rsid w:val="00AD11B7"/>
    <w:rsid w:val="00AD1A94"/>
    <w:rsid w:val="00AD1C05"/>
    <w:rsid w:val="00AD4126"/>
    <w:rsid w:val="00AD421C"/>
    <w:rsid w:val="00AD44FA"/>
    <w:rsid w:val="00AD5A95"/>
    <w:rsid w:val="00AE070A"/>
    <w:rsid w:val="00AE101C"/>
    <w:rsid w:val="00AE37E5"/>
    <w:rsid w:val="00AE5EB4"/>
    <w:rsid w:val="00AF0C18"/>
    <w:rsid w:val="00AF47C5"/>
    <w:rsid w:val="00AF5398"/>
    <w:rsid w:val="00B049AF"/>
    <w:rsid w:val="00B054E6"/>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15"/>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C24"/>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EB4"/>
    <w:rsid w:val="00C103E5"/>
    <w:rsid w:val="00C13319"/>
    <w:rsid w:val="00C13EE9"/>
    <w:rsid w:val="00C16CA0"/>
    <w:rsid w:val="00C21540"/>
    <w:rsid w:val="00C21906"/>
    <w:rsid w:val="00C21BFA"/>
    <w:rsid w:val="00C22148"/>
    <w:rsid w:val="00C24C8D"/>
    <w:rsid w:val="00C25FE2"/>
    <w:rsid w:val="00C26B53"/>
    <w:rsid w:val="00C279B2"/>
    <w:rsid w:val="00C33E50"/>
    <w:rsid w:val="00C34B22"/>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B72"/>
    <w:rsid w:val="00C86D6F"/>
    <w:rsid w:val="00C905FC"/>
    <w:rsid w:val="00C9144E"/>
    <w:rsid w:val="00C92D03"/>
    <w:rsid w:val="00C9319C"/>
    <w:rsid w:val="00C9435D"/>
    <w:rsid w:val="00C94DF2"/>
    <w:rsid w:val="00C96741"/>
    <w:rsid w:val="00C97923"/>
    <w:rsid w:val="00CA1CF6"/>
    <w:rsid w:val="00CA2D1B"/>
    <w:rsid w:val="00CA375D"/>
    <w:rsid w:val="00CA662A"/>
    <w:rsid w:val="00CA7AFD"/>
    <w:rsid w:val="00CA7C3C"/>
    <w:rsid w:val="00CB0189"/>
    <w:rsid w:val="00CB0BA2"/>
    <w:rsid w:val="00CB1A42"/>
    <w:rsid w:val="00CB1B0C"/>
    <w:rsid w:val="00CB2C0B"/>
    <w:rsid w:val="00CB517D"/>
    <w:rsid w:val="00CC038D"/>
    <w:rsid w:val="00CC08DB"/>
    <w:rsid w:val="00CC1010"/>
    <w:rsid w:val="00CC39D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3EBE"/>
    <w:rsid w:val="00D352A2"/>
    <w:rsid w:val="00D40A64"/>
    <w:rsid w:val="00D4162B"/>
    <w:rsid w:val="00D4514F"/>
    <w:rsid w:val="00D451E2"/>
    <w:rsid w:val="00D45E89"/>
    <w:rsid w:val="00D45E8D"/>
    <w:rsid w:val="00D466AE"/>
    <w:rsid w:val="00D4734F"/>
    <w:rsid w:val="00D51BF3"/>
    <w:rsid w:val="00D62616"/>
    <w:rsid w:val="00D66846"/>
    <w:rsid w:val="00D675FB"/>
    <w:rsid w:val="00D71A31"/>
    <w:rsid w:val="00D71F25"/>
    <w:rsid w:val="00D72A9C"/>
    <w:rsid w:val="00D77031"/>
    <w:rsid w:val="00D84941"/>
    <w:rsid w:val="00D84FA1"/>
    <w:rsid w:val="00D851F0"/>
    <w:rsid w:val="00D85BA3"/>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D87"/>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EFA"/>
    <w:rsid w:val="00DF1961"/>
    <w:rsid w:val="00DF44DE"/>
    <w:rsid w:val="00DF5F11"/>
    <w:rsid w:val="00E01138"/>
    <w:rsid w:val="00E02DFB"/>
    <w:rsid w:val="00E030F9"/>
    <w:rsid w:val="00E0311A"/>
    <w:rsid w:val="00E03138"/>
    <w:rsid w:val="00E06404"/>
    <w:rsid w:val="00E11A85"/>
    <w:rsid w:val="00E12495"/>
    <w:rsid w:val="00E15CCD"/>
    <w:rsid w:val="00E172F5"/>
    <w:rsid w:val="00E202EF"/>
    <w:rsid w:val="00E210B5"/>
    <w:rsid w:val="00E23D99"/>
    <w:rsid w:val="00E2552F"/>
    <w:rsid w:val="00E3137A"/>
    <w:rsid w:val="00E32CCF"/>
    <w:rsid w:val="00E34A98"/>
    <w:rsid w:val="00E34F88"/>
    <w:rsid w:val="00E35D1E"/>
    <w:rsid w:val="00E364F9"/>
    <w:rsid w:val="00E365FA"/>
    <w:rsid w:val="00E36789"/>
    <w:rsid w:val="00E4067E"/>
    <w:rsid w:val="00E44A83"/>
    <w:rsid w:val="00E502C1"/>
    <w:rsid w:val="00E502DD"/>
    <w:rsid w:val="00E50D3A"/>
    <w:rsid w:val="00E51387"/>
    <w:rsid w:val="00E51E68"/>
    <w:rsid w:val="00E52EFD"/>
    <w:rsid w:val="00E5408A"/>
    <w:rsid w:val="00E54637"/>
    <w:rsid w:val="00E56800"/>
    <w:rsid w:val="00E60C63"/>
    <w:rsid w:val="00E62FF9"/>
    <w:rsid w:val="00E635D6"/>
    <w:rsid w:val="00E639BC"/>
    <w:rsid w:val="00E664CC"/>
    <w:rsid w:val="00E70388"/>
    <w:rsid w:val="00E70F92"/>
    <w:rsid w:val="00E71E12"/>
    <w:rsid w:val="00E74C54"/>
    <w:rsid w:val="00E77A03"/>
    <w:rsid w:val="00E822E8"/>
    <w:rsid w:val="00E82554"/>
    <w:rsid w:val="00E82606"/>
    <w:rsid w:val="00E82E6F"/>
    <w:rsid w:val="00E846C8"/>
    <w:rsid w:val="00E84957"/>
    <w:rsid w:val="00E84A55"/>
    <w:rsid w:val="00E85BFF"/>
    <w:rsid w:val="00E8702C"/>
    <w:rsid w:val="00E871D8"/>
    <w:rsid w:val="00E90391"/>
    <w:rsid w:val="00E906C2"/>
    <w:rsid w:val="00E91C56"/>
    <w:rsid w:val="00E9311F"/>
    <w:rsid w:val="00E934D1"/>
    <w:rsid w:val="00E94AF0"/>
    <w:rsid w:val="00E95D13"/>
    <w:rsid w:val="00E95DD3"/>
    <w:rsid w:val="00E969D5"/>
    <w:rsid w:val="00E97E69"/>
    <w:rsid w:val="00EA21DC"/>
    <w:rsid w:val="00EA513F"/>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044"/>
    <w:rsid w:val="00EE54A6"/>
    <w:rsid w:val="00EE613F"/>
    <w:rsid w:val="00EE7295"/>
    <w:rsid w:val="00EE7869"/>
    <w:rsid w:val="00EF054A"/>
    <w:rsid w:val="00EF3235"/>
    <w:rsid w:val="00EF5CC1"/>
    <w:rsid w:val="00EF7E72"/>
    <w:rsid w:val="00F02218"/>
    <w:rsid w:val="00F06D37"/>
    <w:rsid w:val="00F07B9D"/>
    <w:rsid w:val="00F11586"/>
    <w:rsid w:val="00F1183B"/>
    <w:rsid w:val="00F11C9F"/>
    <w:rsid w:val="00F12263"/>
    <w:rsid w:val="00F1409D"/>
    <w:rsid w:val="00F14214"/>
    <w:rsid w:val="00F157A9"/>
    <w:rsid w:val="00F25BB6"/>
    <w:rsid w:val="00F26B7E"/>
    <w:rsid w:val="00F27A3B"/>
    <w:rsid w:val="00F33817"/>
    <w:rsid w:val="00F37211"/>
    <w:rsid w:val="00F420D5"/>
    <w:rsid w:val="00F451EA"/>
    <w:rsid w:val="00F45447"/>
    <w:rsid w:val="00F456C6"/>
    <w:rsid w:val="00F4577B"/>
    <w:rsid w:val="00F46496"/>
    <w:rsid w:val="00F474D0"/>
    <w:rsid w:val="00F50179"/>
    <w:rsid w:val="00F515EE"/>
    <w:rsid w:val="00F56511"/>
    <w:rsid w:val="00F6194E"/>
    <w:rsid w:val="00F623AC"/>
    <w:rsid w:val="00F631B1"/>
    <w:rsid w:val="00F6412A"/>
    <w:rsid w:val="00F65893"/>
    <w:rsid w:val="00F66A4A"/>
    <w:rsid w:val="00F71A72"/>
    <w:rsid w:val="00F71E22"/>
    <w:rsid w:val="00F72142"/>
    <w:rsid w:val="00F72AE7"/>
    <w:rsid w:val="00F81141"/>
    <w:rsid w:val="00F82A36"/>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D2F"/>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A1B"/>
    <w:rsid w:val="00FF3E7D"/>
    <w:rsid w:val="00FF4353"/>
    <w:rsid w:val="00FF5B99"/>
    <w:rsid w:val="00FF730C"/>
    <w:rsid w:val="00FF73F4"/>
    <w:rsid w:val="00FF7CE4"/>
    <w:rsid w:val="00FF7E39"/>
    <w:rsid w:val="39B44F4B"/>
    <w:rsid w:val="5226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FollowedHyperlink"/>
    <w:basedOn w:val="28"/>
    <w:qFormat/>
    <w:uiPriority w:val="0"/>
    <w:rPr>
      <w:rFonts w:ascii="Times New Roman" w:hAnsi="Times New Roman" w:eastAsia="宋体" w:cs="Times New Roman"/>
      <w:color w:val="4D4D4D"/>
      <w:u w:val="none"/>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5"/>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sz w:val="21"/>
      <w:lang w:val="en-US" w:eastAsia="zh-CN" w:bidi="ar-SA"/>
    </w:rPr>
  </w:style>
  <w:style w:type="character" w:customStyle="1" w:styleId="232">
    <w:name w:val="段 Char"/>
    <w:basedOn w:val="28"/>
    <w:link w:val="231"/>
    <w:qFormat/>
    <w:uiPriority w:val="0"/>
    <w:rPr>
      <w:rFonts w:ascii="Times New Roman" w:hAnsi="Times New Roman"/>
      <w:sz w:val="21"/>
    </w:rPr>
  </w:style>
  <w:style w:type="paragraph" w:styleId="233">
    <w:name w:val="List Paragraph"/>
    <w:basedOn w:val="1"/>
    <w:qFormat/>
    <w:uiPriority w:val="34"/>
    <w:pPr>
      <w:adjustRightInd/>
      <w:spacing w:line="240" w:lineRule="auto"/>
      <w:ind w:firstLine="420" w:firstLineChars="200"/>
    </w:pPr>
    <w:rPr>
      <w:rFonts w:ascii="Times New Roman" w:hAnsi="Times New Roman"/>
      <w:szCs w:val="24"/>
    </w:rPr>
  </w:style>
  <w:style w:type="paragraph" w:customStyle="1" w:styleId="234">
    <w:name w:val="列出段落1"/>
    <w:basedOn w:val="1"/>
    <w:qFormat/>
    <w:uiPriority w:val="34"/>
    <w:pPr>
      <w:adjustRightInd/>
      <w:spacing w:line="240" w:lineRule="auto"/>
      <w:ind w:firstLine="420" w:firstLineChars="200"/>
    </w:pPr>
    <w:rPr>
      <w:rFonts w:ascii="Times New Roman" w:hAnsi="Times New Roman"/>
      <w:szCs w:val="24"/>
    </w:rPr>
  </w:style>
  <w:style w:type="paragraph" w:customStyle="1" w:styleId="235">
    <w:name w:val="一级条标题"/>
    <w:next w:val="231"/>
    <w:link w:val="24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6">
    <w:name w:val="章标题"/>
    <w:next w:val="23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二级条标题"/>
    <w:basedOn w:val="235"/>
    <w:next w:val="231"/>
    <w:qFormat/>
    <w:uiPriority w:val="0"/>
    <w:pPr>
      <w:spacing w:before="50" w:after="50"/>
      <w:outlineLvl w:val="3"/>
    </w:pPr>
  </w:style>
  <w:style w:type="paragraph" w:customStyle="1" w:styleId="238">
    <w:name w:val="三级条标题"/>
    <w:basedOn w:val="237"/>
    <w:next w:val="231"/>
    <w:qFormat/>
    <w:uiPriority w:val="0"/>
    <w:pPr>
      <w:outlineLvl w:val="4"/>
    </w:pPr>
  </w:style>
  <w:style w:type="paragraph" w:customStyle="1" w:styleId="239">
    <w:name w:val="数字编号列项（二级）"/>
    <w:qFormat/>
    <w:uiPriority w:val="0"/>
    <w:pPr>
      <w:numPr>
        <w:ilvl w:val="1"/>
        <w:numId w:val="32"/>
      </w:numPr>
      <w:tabs>
        <w:tab w:val="left" w:pos="840"/>
      </w:tabs>
      <w:jc w:val="both"/>
    </w:pPr>
    <w:rPr>
      <w:rFonts w:ascii="宋体" w:hAnsi="Times New Roman" w:eastAsia="宋体" w:cs="Times New Roman"/>
      <w:sz w:val="21"/>
      <w:lang w:val="en-US" w:eastAsia="zh-CN" w:bidi="ar-SA"/>
    </w:rPr>
  </w:style>
  <w:style w:type="paragraph" w:customStyle="1" w:styleId="240">
    <w:name w:val="字母编号列项（一级）"/>
    <w:qFormat/>
    <w:uiPriority w:val="0"/>
    <w:pPr>
      <w:numPr>
        <w:ilvl w:val="0"/>
        <w:numId w:val="32"/>
      </w:numPr>
      <w:jc w:val="both"/>
    </w:pPr>
    <w:rPr>
      <w:rFonts w:ascii="宋体" w:hAnsi="Times New Roman" w:eastAsia="宋体" w:cs="Times New Roman"/>
      <w:sz w:val="21"/>
      <w:lang w:val="en-US" w:eastAsia="zh-CN" w:bidi="ar-SA"/>
    </w:rPr>
  </w:style>
  <w:style w:type="paragraph" w:customStyle="1" w:styleId="241">
    <w:name w:val="编号列项（三级）"/>
    <w:qFormat/>
    <w:uiPriority w:val="0"/>
    <w:pPr>
      <w:numPr>
        <w:ilvl w:val="2"/>
        <w:numId w:val="32"/>
      </w:numPr>
      <w:tabs>
        <w:tab w:val="left" w:pos="840"/>
      </w:tabs>
    </w:pPr>
    <w:rPr>
      <w:rFonts w:ascii="宋体" w:hAnsi="Times New Roman" w:eastAsia="宋体" w:cs="Times New Roman"/>
      <w:sz w:val="21"/>
      <w:lang w:val="en-US" w:eastAsia="zh-CN" w:bidi="ar-SA"/>
    </w:rPr>
  </w:style>
  <w:style w:type="paragraph" w:customStyle="1" w:styleId="242">
    <w:name w:val="正文表标题"/>
    <w:next w:val="231"/>
    <w:qFormat/>
    <w:uiPriority w:val="0"/>
    <w:pPr>
      <w:spacing w:beforeLines="50" w:afterLines="50"/>
      <w:jc w:val="center"/>
    </w:pPr>
    <w:rPr>
      <w:rFonts w:ascii="黑体" w:hAnsi="Times New Roman" w:eastAsia="黑体" w:cs="Times New Roman"/>
      <w:sz w:val="21"/>
      <w:lang w:val="en-US" w:eastAsia="zh-CN" w:bidi="ar-SA"/>
    </w:rPr>
  </w:style>
  <w:style w:type="character" w:customStyle="1" w:styleId="243">
    <w:name w:val="一级条标题 Char"/>
    <w:link w:val="235"/>
    <w:qFormat/>
    <w:uiPriority w:val="0"/>
    <w:rPr>
      <w:rFonts w:ascii="黑体" w:hAnsi="Times New Roman" w:eastAsia="黑体"/>
      <w:sz w:val="21"/>
      <w:szCs w:val="21"/>
    </w:rPr>
  </w:style>
  <w:style w:type="paragraph" w:customStyle="1" w:styleId="244">
    <w:name w:val="附录标识"/>
    <w:basedOn w:val="1"/>
    <w:next w:val="231"/>
    <w:qFormat/>
    <w:uiPriority w:val="0"/>
    <w:pPr>
      <w:keepNext/>
      <w:widowControl/>
      <w:shd w:val="clear" w:color="FFFFFF" w:fill="FFFFFF"/>
      <w:tabs>
        <w:tab w:val="left" w:pos="6405"/>
      </w:tabs>
      <w:adjustRightInd/>
      <w:spacing w:before="640" w:after="280" w:line="240" w:lineRule="auto"/>
      <w:ind w:left="7514"/>
      <w:jc w:val="center"/>
      <w:outlineLvl w:val="0"/>
    </w:pPr>
    <w:rPr>
      <w:rFonts w:ascii="黑体" w:hAnsi="Times New Roman" w:eastAsia="黑体"/>
      <w:kern w:val="0"/>
      <w:szCs w:val="20"/>
    </w:rPr>
  </w:style>
  <w:style w:type="paragraph" w:customStyle="1" w:styleId="245">
    <w:name w:val="附录二级条标题"/>
    <w:basedOn w:val="1"/>
    <w:next w:val="231"/>
    <w:qFormat/>
    <w:uiPriority w:val="0"/>
    <w:pPr>
      <w:widowControl/>
      <w:tabs>
        <w:tab w:val="left" w:pos="360"/>
      </w:tabs>
      <w:wordWrap w:val="0"/>
      <w:overflowPunct w:val="0"/>
      <w:autoSpaceDE w:val="0"/>
      <w:autoSpaceDN w:val="0"/>
      <w:adjustRightInd/>
      <w:spacing w:beforeLines="50" w:afterLines="50" w:line="240" w:lineRule="auto"/>
      <w:ind w:left="4111"/>
      <w:textAlignment w:val="baseline"/>
      <w:outlineLvl w:val="3"/>
    </w:pPr>
    <w:rPr>
      <w:rFonts w:ascii="黑体" w:hAnsi="Times New Roman" w:eastAsia="黑体"/>
      <w:kern w:val="21"/>
      <w:szCs w:val="20"/>
    </w:rPr>
  </w:style>
  <w:style w:type="paragraph" w:customStyle="1" w:styleId="246">
    <w:name w:val="附录三级条标题"/>
    <w:basedOn w:val="245"/>
    <w:next w:val="231"/>
    <w:qFormat/>
    <w:uiPriority w:val="0"/>
    <w:pPr>
      <w:outlineLvl w:val="4"/>
    </w:pPr>
  </w:style>
  <w:style w:type="paragraph" w:customStyle="1" w:styleId="247">
    <w:name w:val="附录四级条标题"/>
    <w:basedOn w:val="246"/>
    <w:next w:val="231"/>
    <w:qFormat/>
    <w:uiPriority w:val="0"/>
    <w:pPr>
      <w:outlineLvl w:val="5"/>
    </w:pPr>
  </w:style>
  <w:style w:type="paragraph" w:customStyle="1" w:styleId="248">
    <w:name w:val="附录五级条标题"/>
    <w:basedOn w:val="247"/>
    <w:next w:val="231"/>
    <w:qFormat/>
    <w:uiPriority w:val="0"/>
    <w:pPr>
      <w:outlineLvl w:val="6"/>
    </w:pPr>
  </w:style>
  <w:style w:type="paragraph" w:customStyle="1" w:styleId="249">
    <w:name w:val="附录章标题"/>
    <w:next w:val="231"/>
    <w:qFormat/>
    <w:uiPriority w:val="0"/>
    <w:pPr>
      <w:wordWrap w:val="0"/>
      <w:overflowPunct w:val="0"/>
      <w:autoSpaceDE w:val="0"/>
      <w:spacing w:beforeLines="100" w:afterLines="100"/>
      <w:ind w:left="2269"/>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231"/>
    <w:qFormat/>
    <w:uiPriority w:val="0"/>
    <w:pPr>
      <w:tabs>
        <w:tab w:val="left" w:pos="360"/>
      </w:tabs>
      <w:autoSpaceDN w:val="0"/>
      <w:spacing w:beforeLines="50" w:afterLines="50"/>
      <w:ind w:left="4111"/>
      <w:outlineLvl w:val="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46BF0EB2534B60AD53DAE72627BD7C"/>
        <w:style w:val=""/>
        <w:category>
          <w:name w:val="常规"/>
          <w:gallery w:val="placeholder"/>
        </w:category>
        <w:types>
          <w:type w:val="bbPlcHdr"/>
        </w:types>
        <w:behaviors>
          <w:behavior w:val="content"/>
        </w:behaviors>
        <w:description w:val=""/>
        <w:guid w:val="{B99F26F9-714F-486F-87DD-B93D2FB03780}"/>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10"/>
    <w:rsid w:val="00076090"/>
    <w:rsid w:val="00631C48"/>
    <w:rsid w:val="00676310"/>
    <w:rsid w:val="00736C9D"/>
    <w:rsid w:val="00756A7C"/>
    <w:rsid w:val="00777664"/>
    <w:rsid w:val="0077781C"/>
    <w:rsid w:val="00792010"/>
    <w:rsid w:val="0087514E"/>
    <w:rsid w:val="008A72F8"/>
    <w:rsid w:val="00955274"/>
    <w:rsid w:val="00C46AD6"/>
    <w:rsid w:val="00D564E0"/>
    <w:rsid w:val="00E63EAA"/>
    <w:rsid w:val="00E722D9"/>
    <w:rsid w:val="00EE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646BF0EB2534B60AD53DAE72627B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B6F357704864AA89B02FE10EB9A9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A8EC7175F624F0BBF0438C9350476D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5A77B-6873-45FB-B674-F51D69AB461F}">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4261</Words>
  <Characters>4803</Characters>
  <Lines>42</Lines>
  <Paragraphs>11</Paragraphs>
  <TotalTime>0</TotalTime>
  <ScaleCrop>false</ScaleCrop>
  <LinksUpToDate>false</LinksUpToDate>
  <CharactersWithSpaces>4915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2022-05-26T07:08:00Z</dcterms:created>
  <dc:creator>王梦迪</dc:creator>
  <dc:description>&lt;config cover="true" show_menu="true" version="1.0.0" doctype="SDKXY"&gt;_x000d_
&lt;/config&gt;</dc:description>
  <cp:lastModifiedBy>李泽杨</cp:lastModifiedBy>
  <cp:lastPrinted>2020-08-30T10:00:00Z</cp:lastPrinted>
  <dcterms:modified xsi:type="dcterms:W3CDTF">2022-06-02T11:59:49Z</dcterms:modified>
  <dc:title>地方标准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2052-11.1.0.11744</vt:lpwstr>
  </property>
  <property fmtid="{D5CDD505-2E9C-101B-9397-08002B2CF9AE}" pid="15" name="ICV">
    <vt:lpwstr>8E92052110BB44F09DCB000EAA38F89B</vt:lpwstr>
  </property>
</Properties>
</file>