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w:t>
            </w:r>
            <w:r>
              <w:rPr>
                <w:rFonts w:ascii="黑体" w:hAnsi="黑体" w:eastAsia="黑体"/>
                <w:sz w:val="21"/>
                <w:szCs w:val="21"/>
              </w:rPr>
              <w:t>3.020.01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Z04</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11</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北京市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11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rPr>
        <w:t>1282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int="eastAsia" w:hAnsi="黑体"/>
        </w:rPr>
        <w:t xml:space="preserve">代替 </w:t>
      </w:r>
      <w:r>
        <w:rPr>
          <w:rFonts w:hAnsi="黑体"/>
        </w:rPr>
        <w:t xml:space="preserve">DB 11/T </w:t>
      </w:r>
      <w:r>
        <w:rPr>
          <w:rFonts w:hint="eastAsia" w:hAnsi="黑体"/>
        </w:rPr>
        <w:t>1282-2015</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数据中心节能设计规范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Energy saving design for data center</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021</w:t>
      </w:r>
      <w:r>
        <w:rPr>
          <w:rFonts w:hint="eastAsia"/>
          <w:sz w:val="21"/>
          <w:szCs w:val="28"/>
        </w:rPr>
        <w:t>年1</w:t>
      </w:r>
      <w:r>
        <w:rPr>
          <w:sz w:val="21"/>
          <w:szCs w:val="28"/>
        </w:rPr>
        <w:t>1</w:t>
      </w:r>
      <w:r>
        <w:rPr>
          <w:rFonts w:hint="eastAsia"/>
          <w:sz w:val="21"/>
          <w:szCs w:val="28"/>
        </w:rPr>
        <w:t>月1</w:t>
      </w:r>
      <w:r>
        <w:rPr>
          <w:sz w:val="21"/>
          <w:szCs w:val="28"/>
        </w:rPr>
        <w:t>5</w:t>
      </w:r>
      <w:r>
        <w:rPr>
          <w:rFonts w:hint="eastAsia"/>
          <w:sz w:val="21"/>
          <w:szCs w:val="28"/>
        </w:rPr>
        <w:t>日）</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    </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北京市经济和信息化局 北京市市场监督管理局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468"/>
      </w:pPr>
      <w:bookmarkStart w:id="21" w:name="BookMark1"/>
      <w:r>
        <w:rPr>
          <w:spacing w:val="320"/>
        </w:rPr>
        <w:t>目</w:t>
      </w:r>
      <w: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"_Toc87961405" </w:instrText>
      </w:r>
      <w:r>
        <w:fldChar w:fldCharType="separate"/>
      </w:r>
      <w:r>
        <w:rPr>
          <w:rStyle w:val="33"/>
          <w:spacing w:val="320"/>
        </w:rPr>
        <w:t>前</w:t>
      </w:r>
      <w:r>
        <w:rPr>
          <w:rStyle w:val="33"/>
        </w:rPr>
        <w:t>言</w:t>
      </w:r>
      <w:r>
        <w:tab/>
      </w:r>
      <w:r>
        <w:fldChar w:fldCharType="begin"/>
      </w:r>
      <w:r>
        <w:instrText xml:space="preserve"> PAGEREF _Toc87961405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"_Toc87961406" </w:instrText>
      </w:r>
      <w:r>
        <w:fldChar w:fldCharType="separate"/>
      </w:r>
      <w:r>
        <w:rPr>
          <w:rStyle w:val="33"/>
        </w:rPr>
        <w:t>1 范围</w:t>
      </w:r>
      <w:r>
        <w:tab/>
      </w:r>
      <w:r>
        <w:fldChar w:fldCharType="begin"/>
      </w:r>
      <w:r>
        <w:instrText xml:space="preserve"> PAGEREF _Toc87961406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"_Toc87961407" </w:instrText>
      </w:r>
      <w:r>
        <w:fldChar w:fldCharType="separate"/>
      </w:r>
      <w:r>
        <w:rPr>
          <w:rStyle w:val="33"/>
        </w:rPr>
        <w:t>2 规范性引用文件</w:t>
      </w:r>
      <w:r>
        <w:tab/>
      </w:r>
      <w:r>
        <w:fldChar w:fldCharType="begin"/>
      </w:r>
      <w:r>
        <w:instrText xml:space="preserve"> PAGEREF _Toc87961407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"_Toc87961408" </w:instrText>
      </w:r>
      <w:r>
        <w:fldChar w:fldCharType="separate"/>
      </w:r>
      <w:r>
        <w:rPr>
          <w:rStyle w:val="33"/>
        </w:rPr>
        <w:t>3 术语和定义</w:t>
      </w:r>
      <w:r>
        <w:tab/>
      </w:r>
      <w:r>
        <w:fldChar w:fldCharType="begin"/>
      </w:r>
      <w:r>
        <w:instrText xml:space="preserve"> PAGEREF _Toc87961408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"_Toc87961409" </w:instrText>
      </w:r>
      <w:r>
        <w:fldChar w:fldCharType="separate"/>
      </w:r>
      <w:r>
        <w:rPr>
          <w:rStyle w:val="33"/>
        </w:rPr>
        <w:t>4 节能总体要求</w:t>
      </w:r>
      <w:r>
        <w:tab/>
      </w:r>
      <w:r>
        <w:fldChar w:fldCharType="begin"/>
      </w:r>
      <w:r>
        <w:instrText xml:space="preserve"> PAGEREF _Toc87961409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"_Toc87961410" </w:instrText>
      </w:r>
      <w:r>
        <w:fldChar w:fldCharType="separate"/>
      </w:r>
      <w:r>
        <w:rPr>
          <w:rStyle w:val="33"/>
          <w14:scene3d>
            <w14:lightRig w14:rig="threePt" w14:dir="t">
              <w14:rot w14:lat="0" w14:lon="0" w14:rev="0"/>
            </w14:lightRig>
          </w14:scene3d>
        </w:rPr>
        <w:t>4.1</w:t>
      </w:r>
      <w:r>
        <w:rPr>
          <w:rStyle w:val="33"/>
        </w:rPr>
        <w:t xml:space="preserve"> 总体要求</w:t>
      </w:r>
      <w:r>
        <w:tab/>
      </w:r>
      <w:r>
        <w:fldChar w:fldCharType="begin"/>
      </w:r>
      <w:r>
        <w:instrText xml:space="preserve"> PAGEREF _Toc87961410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"_Toc87961411" </w:instrText>
      </w:r>
      <w:r>
        <w:fldChar w:fldCharType="separate"/>
      </w:r>
      <w:r>
        <w:rPr>
          <w:rStyle w:val="33"/>
          <w14:scene3d>
            <w14:lightRig w14:rig="threePt" w14:dir="t">
              <w14:rot w14:lat="0" w14:lon="0" w14:rev="0"/>
            </w14:lightRig>
          </w14:scene3d>
        </w:rPr>
        <w:t>4.2</w:t>
      </w:r>
      <w:r>
        <w:rPr>
          <w:rStyle w:val="33"/>
        </w:rPr>
        <w:t xml:space="preserve"> 能效要求</w:t>
      </w:r>
      <w:r>
        <w:tab/>
      </w:r>
      <w:r>
        <w:fldChar w:fldCharType="begin"/>
      </w:r>
      <w:r>
        <w:instrText xml:space="preserve"> PAGEREF _Toc87961411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"_Toc87961412" </w:instrText>
      </w:r>
      <w:r>
        <w:fldChar w:fldCharType="separate"/>
      </w:r>
      <w:r>
        <w:rPr>
          <w:rStyle w:val="33"/>
          <w14:scene3d>
            <w14:lightRig w14:rig="threePt" w14:dir="t">
              <w14:rot w14:lat="0" w14:lon="0" w14:rev="0"/>
            </w14:lightRig>
          </w14:scene3d>
        </w:rPr>
        <w:t>4.3</w:t>
      </w:r>
      <w:r>
        <w:rPr>
          <w:rStyle w:val="33"/>
        </w:rPr>
        <w:t xml:space="preserve"> 能耗要求</w:t>
      </w:r>
      <w:r>
        <w:tab/>
      </w:r>
      <w:r>
        <w:fldChar w:fldCharType="begin"/>
      </w:r>
      <w:r>
        <w:instrText xml:space="preserve"> PAGEREF _Toc87961412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"_Toc87961413" </w:instrText>
      </w:r>
      <w:r>
        <w:fldChar w:fldCharType="separate"/>
      </w:r>
      <w:r>
        <w:rPr>
          <w:rStyle w:val="33"/>
        </w:rPr>
        <w:t>5 余热回收</w:t>
      </w:r>
      <w:r>
        <w:tab/>
      </w:r>
      <w:r>
        <w:fldChar w:fldCharType="begin"/>
      </w:r>
      <w:r>
        <w:instrText xml:space="preserve"> PAGEREF _Toc87961413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"_Toc87961414" </w:instrText>
      </w:r>
      <w:r>
        <w:fldChar w:fldCharType="separate"/>
      </w:r>
      <w:r>
        <w:rPr>
          <w:rStyle w:val="33"/>
        </w:rPr>
        <w:t>6 云边协同节能设计要求</w:t>
      </w:r>
      <w:r>
        <w:tab/>
      </w:r>
      <w:r>
        <w:fldChar w:fldCharType="begin"/>
      </w:r>
      <w:r>
        <w:instrText xml:space="preserve"> PAGEREF _Toc87961414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"_Toc87961415" </w:instrText>
      </w:r>
      <w:r>
        <w:fldChar w:fldCharType="separate"/>
      </w:r>
      <w:r>
        <w:rPr>
          <w:rStyle w:val="33"/>
        </w:rPr>
        <w:t>7 选址和设备布置节能要求</w:t>
      </w:r>
      <w:r>
        <w:tab/>
      </w:r>
      <w:r>
        <w:fldChar w:fldCharType="begin"/>
      </w:r>
      <w:r>
        <w:instrText xml:space="preserve"> PAGEREF _Toc87961415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"_Toc87961416" </w:instrText>
      </w:r>
      <w:r>
        <w:fldChar w:fldCharType="separate"/>
      </w:r>
      <w:r>
        <w:rPr>
          <w:rStyle w:val="33"/>
          <w14:scene3d>
            <w14:lightRig w14:rig="threePt" w14:dir="t">
              <w14:rot w14:lat="0" w14:lon="0" w14:rev="0"/>
            </w14:lightRig>
          </w14:scene3d>
        </w:rPr>
        <w:t>7.1</w:t>
      </w:r>
      <w:r>
        <w:rPr>
          <w:rStyle w:val="33"/>
        </w:rPr>
        <w:t xml:space="preserve"> 选址节能要求</w:t>
      </w:r>
      <w:r>
        <w:tab/>
      </w:r>
      <w:r>
        <w:fldChar w:fldCharType="begin"/>
      </w:r>
      <w:r>
        <w:instrText xml:space="preserve"> PAGEREF _Toc87961416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"_Toc87961417" </w:instrText>
      </w:r>
      <w:r>
        <w:fldChar w:fldCharType="separate"/>
      </w:r>
      <w:r>
        <w:rPr>
          <w:rStyle w:val="33"/>
          <w14:scene3d>
            <w14:lightRig w14:rig="threePt" w14:dir="t">
              <w14:rot w14:lat="0" w14:lon="0" w14:rev="0"/>
            </w14:lightRig>
          </w14:scene3d>
        </w:rPr>
        <w:t>7.2</w:t>
      </w:r>
      <w:r>
        <w:rPr>
          <w:rStyle w:val="33"/>
        </w:rPr>
        <w:t xml:space="preserve"> 设置布置节能要求</w:t>
      </w:r>
      <w:r>
        <w:tab/>
      </w:r>
      <w:r>
        <w:fldChar w:fldCharType="begin"/>
      </w:r>
      <w:r>
        <w:instrText xml:space="preserve"> PAGEREF _Toc87961417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"_Toc87961418" </w:instrText>
      </w:r>
      <w:r>
        <w:fldChar w:fldCharType="separate"/>
      </w:r>
      <w:r>
        <w:rPr>
          <w:rStyle w:val="33"/>
        </w:rPr>
        <w:t>8 建筑与结构节能要求</w:t>
      </w:r>
      <w:r>
        <w:tab/>
      </w:r>
      <w:r>
        <w:fldChar w:fldCharType="begin"/>
      </w:r>
      <w:r>
        <w:instrText xml:space="preserve"> PAGEREF _Toc87961418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"_Toc87961419" </w:instrText>
      </w:r>
      <w:r>
        <w:fldChar w:fldCharType="separate"/>
      </w:r>
      <w:r>
        <w:rPr>
          <w:rStyle w:val="33"/>
          <w14:scene3d>
            <w14:lightRig w14:rig="threePt" w14:dir="t">
              <w14:rot w14:lat="0" w14:lon="0" w14:rev="0"/>
            </w14:lightRig>
          </w14:scene3d>
        </w:rPr>
        <w:t>8.1</w:t>
      </w:r>
      <w:r>
        <w:rPr>
          <w:rStyle w:val="33"/>
        </w:rPr>
        <w:t xml:space="preserve"> 围护结构热工设计和节能要求</w:t>
      </w:r>
      <w:r>
        <w:tab/>
      </w:r>
      <w:r>
        <w:fldChar w:fldCharType="begin"/>
      </w:r>
      <w:r>
        <w:instrText xml:space="preserve"> PAGEREF _Toc87961419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"_Toc87961420" </w:instrText>
      </w:r>
      <w:r>
        <w:fldChar w:fldCharType="separate"/>
      </w:r>
      <w:r>
        <w:rPr>
          <w:rStyle w:val="33"/>
          <w14:scene3d>
            <w14:lightRig w14:rig="threePt" w14:dir="t">
              <w14:rot w14:lat="0" w14:lon="0" w14:rev="0"/>
            </w14:lightRig>
          </w14:scene3d>
        </w:rPr>
        <w:t>8.2</w:t>
      </w:r>
      <w:r>
        <w:rPr>
          <w:rStyle w:val="33"/>
        </w:rPr>
        <w:t xml:space="preserve"> 室内装修节能要求</w:t>
      </w:r>
      <w:r>
        <w:tab/>
      </w:r>
      <w:r>
        <w:fldChar w:fldCharType="begin"/>
      </w:r>
      <w:r>
        <w:instrText xml:space="preserve"> PAGEREF _Toc87961420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"_Toc87961421" </w:instrText>
      </w:r>
      <w:r>
        <w:fldChar w:fldCharType="separate"/>
      </w:r>
      <w:r>
        <w:rPr>
          <w:rStyle w:val="33"/>
        </w:rPr>
        <w:t>9 制冷系统节能设计要求</w:t>
      </w:r>
      <w:r>
        <w:tab/>
      </w:r>
      <w:r>
        <w:fldChar w:fldCharType="begin"/>
      </w:r>
      <w:r>
        <w:instrText xml:space="preserve"> PAGEREF _Toc87961421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"_Toc87961422" </w:instrText>
      </w:r>
      <w:r>
        <w:fldChar w:fldCharType="separate"/>
      </w:r>
      <w:r>
        <w:rPr>
          <w:rStyle w:val="33"/>
          <w14:scene3d>
            <w14:lightRig w14:rig="threePt" w14:dir="t">
              <w14:rot w14:lat="0" w14:lon="0" w14:rev="0"/>
            </w14:lightRig>
          </w14:scene3d>
        </w:rPr>
        <w:t>9.1</w:t>
      </w:r>
      <w:r>
        <w:rPr>
          <w:rStyle w:val="33"/>
        </w:rPr>
        <w:t xml:space="preserve"> 自然冷源利用</w:t>
      </w:r>
      <w:r>
        <w:tab/>
      </w:r>
      <w:r>
        <w:fldChar w:fldCharType="begin"/>
      </w:r>
      <w:r>
        <w:instrText xml:space="preserve"> PAGEREF _Toc87961422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"_Toc87961423" </w:instrText>
      </w:r>
      <w:r>
        <w:fldChar w:fldCharType="separate"/>
      </w:r>
      <w:r>
        <w:rPr>
          <w:rStyle w:val="33"/>
          <w14:scene3d>
            <w14:lightRig w14:rig="threePt" w14:dir="t">
              <w14:rot w14:lat="0" w14:lon="0" w14:rev="0"/>
            </w14:lightRig>
          </w14:scene3d>
        </w:rPr>
        <w:t>9.2</w:t>
      </w:r>
      <w:r>
        <w:rPr>
          <w:rStyle w:val="33"/>
        </w:rPr>
        <w:t xml:space="preserve"> 气流组织</w:t>
      </w:r>
      <w:r>
        <w:tab/>
      </w:r>
      <w:r>
        <w:fldChar w:fldCharType="begin"/>
      </w:r>
      <w:r>
        <w:instrText xml:space="preserve"> PAGEREF _Toc87961423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"_Toc87961424" </w:instrText>
      </w:r>
      <w:r>
        <w:fldChar w:fldCharType="separate"/>
      </w:r>
      <w:r>
        <w:rPr>
          <w:rStyle w:val="33"/>
          <w14:scene3d>
            <w14:lightRig w14:rig="threePt" w14:dir="t">
              <w14:rot w14:lat="0" w14:lon="0" w14:rev="0"/>
            </w14:lightRig>
          </w14:scene3d>
        </w:rPr>
        <w:t>9.3</w:t>
      </w:r>
      <w:r>
        <w:rPr>
          <w:rStyle w:val="33"/>
        </w:rPr>
        <w:t xml:space="preserve"> 近端制冷</w:t>
      </w:r>
      <w:r>
        <w:tab/>
      </w:r>
      <w:r>
        <w:fldChar w:fldCharType="begin"/>
      </w:r>
      <w:r>
        <w:instrText xml:space="preserve"> PAGEREF _Toc87961424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"_Toc87961425" </w:instrText>
      </w:r>
      <w:r>
        <w:fldChar w:fldCharType="separate"/>
      </w:r>
      <w:r>
        <w:rPr>
          <w:rStyle w:val="33"/>
          <w14:scene3d>
            <w14:lightRig w14:rig="threePt" w14:dir="t">
              <w14:rot w14:lat="0" w14:lon="0" w14:rev="0"/>
            </w14:lightRig>
          </w14:scene3d>
        </w:rPr>
        <w:t>9.4</w:t>
      </w:r>
      <w:r>
        <w:rPr>
          <w:rStyle w:val="33"/>
        </w:rPr>
        <w:t xml:space="preserve"> 液冷要求</w:t>
      </w:r>
      <w:r>
        <w:tab/>
      </w:r>
      <w:r>
        <w:fldChar w:fldCharType="begin"/>
      </w:r>
      <w:r>
        <w:instrText xml:space="preserve"> PAGEREF _Toc87961425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"_Toc87961426" </w:instrText>
      </w:r>
      <w:r>
        <w:fldChar w:fldCharType="separate"/>
      </w:r>
      <w:r>
        <w:rPr>
          <w:rStyle w:val="33"/>
          <w14:scene3d>
            <w14:lightRig w14:rig="threePt" w14:dir="t">
              <w14:rot w14:lat="0" w14:lon="0" w14:rev="0"/>
            </w14:lightRig>
          </w14:scene3d>
        </w:rPr>
        <w:t>9.5</w:t>
      </w:r>
      <w:r>
        <w:rPr>
          <w:rStyle w:val="33"/>
        </w:rPr>
        <w:t xml:space="preserve"> 高效制冷设备</w:t>
      </w:r>
      <w:r>
        <w:tab/>
      </w:r>
      <w:r>
        <w:fldChar w:fldCharType="begin"/>
      </w:r>
      <w:r>
        <w:instrText xml:space="preserve"> PAGEREF _Toc87961426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"_Toc87961427" </w:instrText>
      </w:r>
      <w:r>
        <w:fldChar w:fldCharType="separate"/>
      </w:r>
      <w:r>
        <w:rPr>
          <w:rStyle w:val="33"/>
          <w14:scene3d>
            <w14:lightRig w14:rig="threePt" w14:dir="t">
              <w14:rot w14:lat="0" w14:lon="0" w14:rev="0"/>
            </w14:lightRig>
          </w14:scene3d>
        </w:rPr>
        <w:t>9.6</w:t>
      </w:r>
      <w:r>
        <w:rPr>
          <w:rStyle w:val="33"/>
        </w:rPr>
        <w:t xml:space="preserve"> 大型蓄冷方案</w:t>
      </w:r>
      <w:r>
        <w:tab/>
      </w:r>
      <w:r>
        <w:fldChar w:fldCharType="begin"/>
      </w:r>
      <w:r>
        <w:instrText xml:space="preserve"> PAGEREF _Toc87961427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"_Toc87961428" </w:instrText>
      </w:r>
      <w:r>
        <w:fldChar w:fldCharType="separate"/>
      </w:r>
      <w:r>
        <w:rPr>
          <w:rStyle w:val="33"/>
          <w14:scene3d>
            <w14:lightRig w14:rig="threePt" w14:dir="t">
              <w14:rot w14:lat="0" w14:lon="0" w14:rev="0"/>
            </w14:lightRig>
          </w14:scene3d>
        </w:rPr>
        <w:t>9.7</w:t>
      </w:r>
      <w:r>
        <w:rPr>
          <w:rStyle w:val="33"/>
        </w:rPr>
        <w:t xml:space="preserve"> 高效制冷整体方案</w:t>
      </w:r>
      <w:r>
        <w:tab/>
      </w:r>
      <w:r>
        <w:fldChar w:fldCharType="begin"/>
      </w:r>
      <w:r>
        <w:instrText xml:space="preserve"> PAGEREF _Toc87961428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"_Toc87961429" </w:instrText>
      </w:r>
      <w:r>
        <w:fldChar w:fldCharType="separate"/>
      </w:r>
      <w:r>
        <w:rPr>
          <w:rStyle w:val="33"/>
        </w:rPr>
        <w:t>10 供电系统节能设计要求</w:t>
      </w:r>
      <w:r>
        <w:tab/>
      </w:r>
      <w:r>
        <w:fldChar w:fldCharType="begin"/>
      </w:r>
      <w:r>
        <w:instrText xml:space="preserve"> PAGEREF _Toc87961429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"_Toc87961430" </w:instrText>
      </w:r>
      <w:r>
        <w:fldChar w:fldCharType="separate"/>
      </w:r>
      <w:r>
        <w:rPr>
          <w:rStyle w:val="33"/>
          <w14:scene3d>
            <w14:lightRig w14:rig="threePt" w14:dir="t">
              <w14:rot w14:lat="0" w14:lon="0" w14:rev="0"/>
            </w14:lightRig>
          </w14:scene3d>
        </w:rPr>
        <w:t>10.1</w:t>
      </w:r>
      <w:r>
        <w:rPr>
          <w:rStyle w:val="33"/>
        </w:rPr>
        <w:t xml:space="preserve"> 市电+保障电源供电方式</w:t>
      </w:r>
      <w:r>
        <w:tab/>
      </w:r>
      <w:r>
        <w:fldChar w:fldCharType="begin"/>
      </w:r>
      <w:r>
        <w:instrText xml:space="preserve"> PAGEREF _Toc87961430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"_Toc87961431" </w:instrText>
      </w:r>
      <w:r>
        <w:fldChar w:fldCharType="separate"/>
      </w:r>
      <w:r>
        <w:rPr>
          <w:rStyle w:val="33"/>
          <w14:scene3d>
            <w14:lightRig w14:rig="threePt" w14:dir="t">
              <w14:rot w14:lat="0" w14:lon="0" w14:rev="0"/>
            </w14:lightRig>
          </w14:scene3d>
        </w:rPr>
        <w:t>10.2</w:t>
      </w:r>
      <w:r>
        <w:rPr>
          <w:rStyle w:val="33"/>
        </w:rPr>
        <w:t xml:space="preserve"> 240V/336V高效直流供电方式</w:t>
      </w:r>
      <w:r>
        <w:tab/>
      </w:r>
      <w:r>
        <w:fldChar w:fldCharType="begin"/>
      </w:r>
      <w:r>
        <w:instrText xml:space="preserve"> PAGEREF _Toc87961431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"_Toc87961432" </w:instrText>
      </w:r>
      <w:r>
        <w:fldChar w:fldCharType="separate"/>
      </w:r>
      <w:r>
        <w:rPr>
          <w:rStyle w:val="33"/>
          <w14:scene3d>
            <w14:lightRig w14:rig="threePt" w14:dir="t">
              <w14:rot w14:lat="0" w14:lon="0" w14:rev="0"/>
            </w14:lightRig>
          </w14:scene3d>
        </w:rPr>
        <w:t>10.3</w:t>
      </w:r>
      <w:r>
        <w:rPr>
          <w:rStyle w:val="33"/>
        </w:rPr>
        <w:t xml:space="preserve"> 可再生能源供电方式</w:t>
      </w:r>
      <w:r>
        <w:tab/>
      </w:r>
      <w:r>
        <w:fldChar w:fldCharType="begin"/>
      </w:r>
      <w:r>
        <w:instrText xml:space="preserve"> PAGEREF _Toc87961432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"_Toc87961433" </w:instrText>
      </w:r>
      <w:r>
        <w:fldChar w:fldCharType="separate"/>
      </w:r>
      <w:r>
        <w:rPr>
          <w:rStyle w:val="33"/>
          <w14:scene3d>
            <w14:lightRig w14:rig="threePt" w14:dir="t">
              <w14:rot w14:lat="0" w14:lon="0" w14:rev="0"/>
            </w14:lightRig>
          </w14:scene3d>
        </w:rPr>
        <w:t>10.4</w:t>
      </w:r>
      <w:r>
        <w:rPr>
          <w:rStyle w:val="33"/>
        </w:rPr>
        <w:t xml:space="preserve"> 高效供电方案</w:t>
      </w:r>
      <w:r>
        <w:tab/>
      </w:r>
      <w:r>
        <w:fldChar w:fldCharType="begin"/>
      </w:r>
      <w:r>
        <w:instrText xml:space="preserve"> PAGEREF _Toc87961433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"_Toc87961434" </w:instrText>
      </w:r>
      <w:r>
        <w:fldChar w:fldCharType="separate"/>
      </w:r>
      <w:r>
        <w:rPr>
          <w:rStyle w:val="33"/>
          <w14:scene3d>
            <w14:lightRig w14:rig="threePt" w14:dir="t">
              <w14:rot w14:lat="0" w14:lon="0" w14:rev="0"/>
            </w14:lightRig>
          </w14:scene3d>
        </w:rPr>
        <w:t>10.5</w:t>
      </w:r>
      <w:r>
        <w:rPr>
          <w:rStyle w:val="33"/>
        </w:rPr>
        <w:t xml:space="preserve"> 储能方案</w:t>
      </w:r>
      <w:r>
        <w:tab/>
      </w:r>
      <w:r>
        <w:fldChar w:fldCharType="begin"/>
      </w:r>
      <w:r>
        <w:instrText xml:space="preserve"> PAGEREF _Toc87961434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"_Toc87961435" </w:instrText>
      </w:r>
      <w:r>
        <w:fldChar w:fldCharType="separate"/>
      </w:r>
      <w:r>
        <w:rPr>
          <w:rStyle w:val="33"/>
        </w:rPr>
        <w:t>11 环境监控及智能化管理系统节能要求</w:t>
      </w:r>
      <w:r>
        <w:tab/>
      </w:r>
      <w:r>
        <w:fldChar w:fldCharType="begin"/>
      </w:r>
      <w:r>
        <w:instrText xml:space="preserve"> PAGEREF _Toc87961435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"_Toc87961436" </w:instrText>
      </w:r>
      <w:r>
        <w:fldChar w:fldCharType="separate"/>
      </w:r>
      <w:r>
        <w:rPr>
          <w:rStyle w:val="33"/>
          <w14:scene3d>
            <w14:lightRig w14:rig="threePt" w14:dir="t">
              <w14:rot w14:lat="0" w14:lon="0" w14:rev="0"/>
            </w14:lightRig>
          </w14:scene3d>
        </w:rPr>
        <w:t>11.1</w:t>
      </w:r>
      <w:r>
        <w:rPr>
          <w:rStyle w:val="33"/>
        </w:rPr>
        <w:t xml:space="preserve"> 智能化系统要求</w:t>
      </w:r>
      <w:r>
        <w:tab/>
      </w:r>
      <w:r>
        <w:fldChar w:fldCharType="begin"/>
      </w:r>
      <w:r>
        <w:instrText xml:space="preserve"> PAGEREF _Toc87961436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"_Toc87961437" </w:instrText>
      </w:r>
      <w:r>
        <w:fldChar w:fldCharType="separate"/>
      </w:r>
      <w:r>
        <w:rPr>
          <w:rStyle w:val="33"/>
          <w14:scene3d>
            <w14:lightRig w14:rig="threePt" w14:dir="t">
              <w14:rot w14:lat="0" w14:lon="0" w14:rev="0"/>
            </w14:lightRig>
          </w14:scene3d>
        </w:rPr>
        <w:t>11.2</w:t>
      </w:r>
      <w:r>
        <w:rPr>
          <w:rStyle w:val="33"/>
        </w:rPr>
        <w:t xml:space="preserve"> 环境和设备监控系统要求</w:t>
      </w:r>
      <w:r>
        <w:tab/>
      </w:r>
      <w:r>
        <w:fldChar w:fldCharType="begin"/>
      </w:r>
      <w:r>
        <w:instrText xml:space="preserve"> PAGEREF _Toc87961437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"_Toc87961438" </w:instrText>
      </w:r>
      <w:r>
        <w:fldChar w:fldCharType="separate"/>
      </w:r>
      <w:r>
        <w:rPr>
          <w:rStyle w:val="33"/>
        </w:rPr>
        <w:t>12 IT系统节能设计要求</w:t>
      </w:r>
      <w:r>
        <w:tab/>
      </w:r>
      <w:r>
        <w:fldChar w:fldCharType="begin"/>
      </w:r>
      <w:r>
        <w:instrText xml:space="preserve"> PAGEREF _Toc87961438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"_Toc87961439" </w:instrText>
      </w:r>
      <w:r>
        <w:fldChar w:fldCharType="separate"/>
      </w:r>
      <w:r>
        <w:rPr>
          <w:rStyle w:val="33"/>
          <w14:scene3d>
            <w14:lightRig w14:rig="threePt" w14:dir="t">
              <w14:rot w14:lat="0" w14:lon="0" w14:rev="0"/>
            </w14:lightRig>
          </w14:scene3d>
        </w:rPr>
        <w:t>12.1</w:t>
      </w:r>
      <w:r>
        <w:rPr>
          <w:rStyle w:val="33"/>
        </w:rPr>
        <w:t xml:space="preserve"> IT设备选择要求</w:t>
      </w:r>
      <w:r>
        <w:tab/>
      </w:r>
      <w:r>
        <w:fldChar w:fldCharType="begin"/>
      </w:r>
      <w:r>
        <w:instrText xml:space="preserve"> PAGEREF _Toc87961439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"_Toc87961440" </w:instrText>
      </w:r>
      <w:r>
        <w:fldChar w:fldCharType="separate"/>
      </w:r>
      <w:r>
        <w:rPr>
          <w:rStyle w:val="33"/>
          <w14:scene3d>
            <w14:lightRig w14:rig="threePt" w14:dir="t">
              <w14:rot w14:lat="0" w14:lon="0" w14:rev="0"/>
            </w14:lightRig>
          </w14:scene3d>
        </w:rPr>
        <w:t>12.2</w:t>
      </w:r>
      <w:r>
        <w:rPr>
          <w:rStyle w:val="33"/>
        </w:rPr>
        <w:t xml:space="preserve"> IT系统节能总体要求</w:t>
      </w:r>
      <w:r>
        <w:tab/>
      </w:r>
      <w:r>
        <w:fldChar w:fldCharType="begin"/>
      </w:r>
      <w:r>
        <w:instrText xml:space="preserve"> PAGEREF _Toc87961440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"_Toc87961441" </w:instrText>
      </w:r>
      <w:r>
        <w:fldChar w:fldCharType="separate"/>
      </w:r>
      <w:r>
        <w:rPr>
          <w:rStyle w:val="33"/>
          <w14:scene3d>
            <w14:lightRig w14:rig="threePt" w14:dir="t">
              <w14:rot w14:lat="0" w14:lon="0" w14:rev="0"/>
            </w14:lightRig>
          </w14:scene3d>
        </w:rPr>
        <w:t>12.3</w:t>
      </w:r>
      <w:r>
        <w:rPr>
          <w:rStyle w:val="33"/>
        </w:rPr>
        <w:t xml:space="preserve"> 数据中心存储能耗要求</w:t>
      </w:r>
      <w:r>
        <w:tab/>
      </w:r>
      <w:r>
        <w:fldChar w:fldCharType="begin"/>
      </w:r>
      <w:r>
        <w:instrText xml:space="preserve"> PAGEREF _Toc87961441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"_Toc87961442" </w:instrText>
      </w:r>
      <w:r>
        <w:fldChar w:fldCharType="separate"/>
      </w:r>
      <w:r>
        <w:rPr>
          <w:rStyle w:val="33"/>
          <w14:scene3d>
            <w14:lightRig w14:rig="threePt" w14:dir="t">
              <w14:rot w14:lat="0" w14:lon="0" w14:rev="0"/>
            </w14:lightRig>
          </w14:scene3d>
        </w:rPr>
        <w:t>12.4</w:t>
      </w:r>
      <w:r>
        <w:rPr>
          <w:rStyle w:val="33"/>
        </w:rPr>
        <w:t xml:space="preserve"> IT系统算力要求</w:t>
      </w:r>
      <w:r>
        <w:tab/>
      </w:r>
      <w:r>
        <w:fldChar w:fldCharType="begin"/>
      </w:r>
      <w:r>
        <w:instrText xml:space="preserve"> PAGEREF _Toc87961442 \h </w:instrText>
      </w:r>
      <w:r>
        <w:fldChar w:fldCharType="separate"/>
      </w:r>
      <w:r>
        <w:t>7</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87961405"/>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本文件由北京市经济和信息化局提出。</w:t>
      </w:r>
    </w:p>
    <w:p>
      <w:pPr>
        <w:pStyle w:val="57"/>
        <w:ind w:firstLine="420"/>
      </w:pPr>
      <w:r>
        <w:rPr>
          <w:rFonts w:hint="eastAsia"/>
        </w:rPr>
        <w:t>本文件由北京市经济和信息化局归口。</w:t>
      </w:r>
    </w:p>
    <w:p>
      <w:pPr>
        <w:pStyle w:val="57"/>
        <w:ind w:firstLine="420"/>
      </w:pPr>
      <w:r>
        <w:rPr>
          <w:rFonts w:hint="eastAsia"/>
        </w:rPr>
        <w:t>本文件起草单位：中关村软件和信息绿色创新服务联盟、中国信息通信研究院、北京世纪互联宽带数据中心有限公司、</w:t>
      </w:r>
      <w:r>
        <w:rPr>
          <w:rFonts w:hint="eastAsia" w:hAnsi="Times New Roman" w:cs="Times New Roman"/>
          <w:lang w:val="en-US" w:eastAsia="zh-CN"/>
        </w:rPr>
        <w:t>国富瑞数据系统有限公司、</w:t>
      </w:r>
      <w:r>
        <w:rPr>
          <w:rFonts w:hint="eastAsia"/>
        </w:rPr>
        <w:t>曙光数据基础设施创新技术（北京）股份有限公司、电科云（北京）科技有限公司、北京万国长安科技有限公司、北京英沛特能源技术有限公司</w:t>
      </w:r>
    </w:p>
    <w:p>
      <w:pPr>
        <w:pStyle w:val="57"/>
        <w:ind w:firstLine="420"/>
        <w:rPr>
          <w:rFonts w:hint="default" w:eastAsia="宋体"/>
          <w:lang w:val="en-US" w:eastAsia="zh-CN"/>
        </w:rPr>
      </w:pPr>
      <w:r>
        <w:rPr>
          <w:rFonts w:hint="eastAsia"/>
        </w:rPr>
        <w:t>本文件主要起草人：徐斌、王梦迪、李尚、齐曙光、李镇江、李宏鹏、</w:t>
      </w:r>
      <w:r>
        <w:rPr>
          <w:rFonts w:hint="eastAsia"/>
          <w:lang w:val="en-US" w:eastAsia="zh-CN"/>
        </w:rPr>
        <w:t>吕军、</w:t>
      </w:r>
      <w:r>
        <w:rPr>
          <w:rFonts w:hint="eastAsia"/>
        </w:rPr>
        <w:t>范娟、井光磊、李技、张鹏南、宋树昆、邹元霖</w:t>
      </w:r>
      <w:r>
        <w:rPr>
          <w:rFonts w:hint="eastAsia"/>
          <w:lang w:eastAsia="zh-CN"/>
        </w:rPr>
        <w:t>、</w:t>
      </w:r>
      <w:r>
        <w:rPr>
          <w:rFonts w:hint="eastAsia"/>
          <w:lang w:val="en-US" w:eastAsia="zh-CN"/>
        </w:rPr>
        <w:t>卢永红</w:t>
      </w:r>
    </w:p>
    <w:p>
      <w:pPr>
        <w:pStyle w:val="57"/>
        <w:ind w:firstLine="420"/>
      </w:pP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bookmarkStart w:id="84" w:name="_GoBack"/>
      <w:bookmarkEnd w:id="84"/>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F646BF0EB2534B60AD53DAE72627BD7C"/>
        </w:placeholder>
      </w:sdtPr>
      <w:sdtContent>
        <w:p>
          <w:pPr>
            <w:pStyle w:val="178"/>
            <w:spacing w:before="3" w:beforeLines="1" w:after="686" w:afterLines="220"/>
          </w:pPr>
          <w:bookmarkStart w:id="25" w:name="NEW_STAND_NAME"/>
          <w:r>
            <w:rPr>
              <w:rFonts w:hint="eastAsia"/>
            </w:rPr>
            <w:t>数据中心节能设计规范</w:t>
          </w:r>
        </w:p>
      </w:sdtContent>
    </w:sdt>
    <w:bookmarkEnd w:id="25"/>
    <w:p>
      <w:pPr>
        <w:pStyle w:val="105"/>
        <w:spacing w:before="312" w:after="312"/>
      </w:pPr>
      <w:bookmarkStart w:id="26" w:name="_Toc17233325"/>
      <w:bookmarkStart w:id="27" w:name="_Toc87961406"/>
      <w:bookmarkStart w:id="28" w:name="_Toc24884211"/>
      <w:bookmarkStart w:id="29" w:name="_Toc17233333"/>
      <w:bookmarkStart w:id="30" w:name="_Toc26986771"/>
      <w:bookmarkStart w:id="31" w:name="_Toc26986530"/>
      <w:bookmarkStart w:id="32" w:name="_Toc26718930"/>
      <w:bookmarkStart w:id="33" w:name="_Toc26648465"/>
      <w:bookmarkStart w:id="34" w:name="_Toc24884218"/>
      <w:r>
        <w:rPr>
          <w:rFonts w:hint="eastAsia"/>
        </w:rPr>
        <w:t>范围</w:t>
      </w:r>
      <w:bookmarkEnd w:id="26"/>
      <w:bookmarkEnd w:id="27"/>
      <w:bookmarkEnd w:id="28"/>
      <w:bookmarkEnd w:id="29"/>
      <w:bookmarkEnd w:id="30"/>
      <w:bookmarkEnd w:id="31"/>
      <w:bookmarkEnd w:id="32"/>
      <w:bookmarkEnd w:id="33"/>
      <w:bookmarkEnd w:id="34"/>
    </w:p>
    <w:p>
      <w:pPr>
        <w:pStyle w:val="231"/>
      </w:pPr>
      <w:bookmarkStart w:id="35" w:name="_Hlk87890688"/>
      <w:bookmarkStart w:id="36" w:name="_Toc17233326"/>
      <w:bookmarkStart w:id="37" w:name="_Toc24884212"/>
      <w:bookmarkStart w:id="38" w:name="_Toc24884219"/>
      <w:bookmarkStart w:id="39" w:name="_Toc17233334"/>
      <w:bookmarkStart w:id="40" w:name="_Toc26648466"/>
      <w:r>
        <w:rPr>
          <w:rFonts w:hint="eastAsia"/>
        </w:rPr>
        <w:t>本文件规定了数据中心</w:t>
      </w:r>
      <w:r>
        <w:rPr>
          <w:rFonts w:hint="eastAsia" w:ascii="宋体" w:hAnsi="宋体" w:cs="宋体"/>
          <w:color w:val="000000"/>
          <w:szCs w:val="21"/>
          <w:lang w:bidi="ar"/>
        </w:rPr>
        <w:t>节能总体要求、余热回收、云边协同节能设计要求、选址和设备布置节能要求、建筑与结构节能要求、制冷系统节能设计要求、供电系统节能设计要求、环境监控及智能化管理系统节能要求、I</w:t>
      </w:r>
      <w:r>
        <w:rPr>
          <w:rFonts w:ascii="宋体" w:hAnsi="宋体" w:cs="宋体"/>
          <w:color w:val="000000"/>
          <w:szCs w:val="21"/>
          <w:lang w:bidi="ar"/>
        </w:rPr>
        <w:t>T</w:t>
      </w:r>
      <w:r>
        <w:rPr>
          <w:rFonts w:hint="eastAsia" w:ascii="宋体" w:hAnsi="宋体" w:cs="宋体"/>
          <w:color w:val="000000"/>
          <w:szCs w:val="21"/>
          <w:lang w:bidi="ar"/>
        </w:rPr>
        <w:t>系统节能设计要求等内容。</w:t>
      </w:r>
    </w:p>
    <w:p>
      <w:pPr>
        <w:pStyle w:val="57"/>
        <w:ind w:firstLine="420"/>
      </w:pPr>
      <w:r>
        <w:rPr>
          <w:rFonts w:hint="eastAsia"/>
        </w:rPr>
        <w:t>本文件适用于各类新建及存量数据中心</w:t>
      </w:r>
      <w:bookmarkEnd w:id="35"/>
      <w:r>
        <w:rPr>
          <w:rFonts w:hint="eastAsia"/>
        </w:rPr>
        <w:t>，包括云数据中心、边缘数据中心和超算数据中心等。</w:t>
      </w:r>
    </w:p>
    <w:p>
      <w:pPr>
        <w:pStyle w:val="105"/>
        <w:spacing w:before="312" w:after="312"/>
      </w:pPr>
      <w:bookmarkStart w:id="41" w:name="_Toc26718931"/>
      <w:bookmarkStart w:id="42" w:name="_Toc26986531"/>
      <w:bookmarkStart w:id="43" w:name="_Toc87961407"/>
      <w:bookmarkStart w:id="44" w:name="_Toc26986772"/>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0B6F357704864AA89B02FE10EB9A92D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w:t>
      </w:r>
      <w:r>
        <w:t xml:space="preserve">B/T 7106 </w:t>
      </w:r>
      <w:r>
        <w:rPr>
          <w:rFonts w:hint="eastAsia"/>
        </w:rPr>
        <w:t>建筑外门窗气密、水密、抗风压性能分级及检测方法</w:t>
      </w:r>
    </w:p>
    <w:p>
      <w:pPr>
        <w:pStyle w:val="57"/>
        <w:ind w:firstLine="420"/>
      </w:pPr>
      <w:r>
        <w:rPr>
          <w:rFonts w:hint="eastAsia"/>
        </w:rPr>
        <w:t>G</w:t>
      </w:r>
      <w:r>
        <w:t xml:space="preserve">B 50174 </w:t>
      </w:r>
      <w:r>
        <w:rPr>
          <w:rFonts w:hint="eastAsia"/>
        </w:rPr>
        <w:t>数据中心设计规范</w:t>
      </w:r>
    </w:p>
    <w:p>
      <w:pPr>
        <w:pStyle w:val="57"/>
        <w:ind w:firstLine="420"/>
      </w:pPr>
      <w:r>
        <w:t xml:space="preserve">GB 55015 </w:t>
      </w:r>
      <w:r>
        <w:rPr>
          <w:rFonts w:hint="eastAsia"/>
        </w:rPr>
        <w:t>建筑节能与可再生能源利用通用规范</w:t>
      </w:r>
    </w:p>
    <w:p>
      <w:pPr>
        <w:pStyle w:val="57"/>
        <w:ind w:firstLine="420"/>
      </w:pPr>
      <w:r>
        <w:t xml:space="preserve">DB11/687 </w:t>
      </w:r>
      <w:r>
        <w:rPr>
          <w:rFonts w:hint="eastAsia"/>
        </w:rPr>
        <w:t>公共建筑节能设计标准</w:t>
      </w:r>
    </w:p>
    <w:p>
      <w:pPr>
        <w:pStyle w:val="57"/>
        <w:ind w:firstLine="420"/>
      </w:pPr>
      <w:r>
        <w:rPr>
          <w:rFonts w:hint="eastAsia"/>
        </w:rPr>
        <w:t>Y</w:t>
      </w:r>
      <w:r>
        <w:t xml:space="preserve">D/T 2543-2013 </w:t>
      </w:r>
      <w:r>
        <w:rPr>
          <w:rFonts w:hint="eastAsia"/>
        </w:rPr>
        <w:t>电信互联网数据中心（I</w:t>
      </w:r>
      <w:r>
        <w:t>DC</w:t>
      </w:r>
      <w:r>
        <w:rPr>
          <w:rFonts w:hint="eastAsia"/>
        </w:rPr>
        <w:t>）的能耗测评方法</w:t>
      </w:r>
    </w:p>
    <w:p>
      <w:pPr>
        <w:pStyle w:val="57"/>
        <w:ind w:firstLine="420"/>
      </w:pPr>
      <w:r>
        <w:rPr>
          <w:rFonts w:hint="eastAsia"/>
        </w:rPr>
        <w:t>D</w:t>
      </w:r>
      <w:r>
        <w:t>B11</w:t>
      </w:r>
      <w:r>
        <w:rPr>
          <w:rFonts w:hint="eastAsia"/>
        </w:rPr>
        <w:t>/</w:t>
      </w:r>
      <w:r>
        <w:t xml:space="preserve">T 1139 </w:t>
      </w:r>
      <w:r>
        <w:rPr>
          <w:rFonts w:hint="eastAsia"/>
        </w:rPr>
        <w:t>数据中心能源效率限额</w:t>
      </w:r>
    </w:p>
    <w:p>
      <w:pPr>
        <w:pStyle w:val="57"/>
        <w:ind w:firstLine="420"/>
        <w:rPr>
          <w:rFonts w:hAnsi="宋体"/>
        </w:rPr>
      </w:pPr>
      <w:r>
        <w:rPr>
          <w:rFonts w:hint="eastAsia" w:hAnsi="宋体"/>
        </w:rPr>
        <w:t>DB11/T 1768-2020《建筑水表配置规范》</w:t>
      </w:r>
    </w:p>
    <w:p>
      <w:pPr>
        <w:pStyle w:val="57"/>
        <w:ind w:firstLine="420"/>
      </w:pPr>
      <w:r>
        <w:rPr>
          <w:rFonts w:hint="eastAsia" w:hAnsi="宋体"/>
        </w:rPr>
        <w:t>D</w:t>
      </w:r>
      <w:r>
        <w:rPr>
          <w:rFonts w:hAnsi="宋体"/>
        </w:rPr>
        <w:t>B11/T 1770-2020</w:t>
      </w:r>
      <w:r>
        <w:rPr>
          <w:rFonts w:hint="eastAsia" w:hAnsi="宋体"/>
        </w:rPr>
        <w:t>《民用冷却塔节水管理规范》</w:t>
      </w:r>
    </w:p>
    <w:p>
      <w:pPr>
        <w:pStyle w:val="105"/>
        <w:spacing w:before="312" w:after="312"/>
      </w:pPr>
      <w:bookmarkStart w:id="45" w:name="_Toc87961408"/>
      <w:r>
        <w:rPr>
          <w:rFonts w:hint="eastAsia"/>
          <w:szCs w:val="21"/>
        </w:rPr>
        <w:t>术语和定义</w:t>
      </w:r>
      <w:bookmarkEnd w:id="45"/>
    </w:p>
    <w:sdt>
      <w:sdtPr>
        <w:id w:val="-1909835108"/>
        <w:placeholder>
          <w:docPart w:val="8A8EC7175F624F0BBF0438C9350476D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6" w:name="_Toc26986532"/>
          <w:bookmarkEnd w:id="46"/>
          <w: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数据中心 </w:t>
      </w:r>
      <w:r>
        <w:rPr>
          <w:rFonts w:ascii="黑体" w:hAnsi="黑体" w:eastAsia="黑体"/>
        </w:rPr>
        <w:t>data center</w:t>
      </w:r>
    </w:p>
    <w:p>
      <w:pPr>
        <w:pStyle w:val="231"/>
      </w:pPr>
      <w:bookmarkStart w:id="47" w:name="_Hlk91768956"/>
      <w:r>
        <w:rPr>
          <w:rFonts w:hint="eastAsia"/>
        </w:rPr>
        <w:t>是指为信息的集中处理、存储、传输、交换、管理等提供运行环境的场所，包括计算机设备、服务器设备、网络设备、存储设备等电子信息设备，以及供电系统、温控系统、监控系统、消防系统等基础设施。</w:t>
      </w:r>
    </w:p>
    <w:bookmarkEnd w:id="47"/>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云数据中心 </w:t>
      </w:r>
      <w:r>
        <w:rPr>
          <w:rFonts w:ascii="黑体" w:hAnsi="黑体" w:eastAsia="黑体"/>
        </w:rPr>
        <w:t>cloud data center</w:t>
      </w:r>
    </w:p>
    <w:p>
      <w:pPr>
        <w:pStyle w:val="231"/>
        <w:rPr>
          <w:rFonts w:ascii="Arial" w:hAnsi="Arial" w:cs="Arial"/>
          <w:color w:val="333333"/>
          <w:szCs w:val="21"/>
          <w:shd w:val="clear" w:color="auto" w:fill="FFFFFF"/>
        </w:rPr>
      </w:pPr>
      <w:r>
        <w:rPr>
          <w:rFonts w:hint="eastAsia"/>
        </w:rPr>
        <w:t>是指为云计算提供运行环境的建筑场所。</w:t>
      </w:r>
      <w:r>
        <w:rPr>
          <w:rFonts w:ascii="Arial" w:hAnsi="Arial" w:cs="Arial"/>
          <w:color w:val="333333"/>
          <w:szCs w:val="21"/>
          <w:shd w:val="clear" w:color="auto" w:fill="FFFFFF"/>
        </w:rPr>
        <w:t>数据在云端进行传输，云计算数据中心为其调配所需的计算能力，并对整个基础构架的后台进行管理。</w:t>
      </w:r>
    </w:p>
    <w:p>
      <w:pPr>
        <w:pStyle w:val="224"/>
        <w:ind w:left="420" w:hanging="420" w:hangingChars="200"/>
        <w:rPr>
          <w:rFonts w:ascii="黑体" w:hAnsi="黑体" w:eastAsia="黑体"/>
        </w:rPr>
      </w:pPr>
      <w:r>
        <w:rPr>
          <w:rFonts w:ascii="黑体" w:hAnsi="黑体" w:eastAsia="黑体"/>
          <w:shd w:val="clear" w:color="auto" w:fill="FFFFFF"/>
        </w:rPr>
        <w:br w:type="textWrapping"/>
      </w:r>
      <w:r>
        <w:rPr>
          <w:rFonts w:hint="eastAsia" w:ascii="黑体" w:hAnsi="黑体" w:eastAsia="黑体"/>
        </w:rPr>
        <w:t xml:space="preserve">边缘存算 </w:t>
      </w:r>
      <w:r>
        <w:rPr>
          <w:rFonts w:ascii="黑体" w:hAnsi="黑体" w:eastAsia="黑体"/>
        </w:rPr>
        <w:t>edge computing</w:t>
      </w:r>
    </w:p>
    <w:p>
      <w:pPr>
        <w:pStyle w:val="57"/>
        <w:ind w:firstLine="420"/>
      </w:pPr>
      <w:r>
        <w:rPr>
          <w:rFonts w:hint="eastAsia"/>
        </w:rPr>
        <w:t>是指在网络边缘侧或靠近边缘侧进行数据存储和处理的分布式存算形式。</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边缘数据中心 </w:t>
      </w:r>
      <w:r>
        <w:rPr>
          <w:rFonts w:ascii="黑体" w:hAnsi="黑体" w:eastAsia="黑体"/>
        </w:rPr>
        <w:t>edge data center</w:t>
      </w:r>
    </w:p>
    <w:p>
      <w:pPr>
        <w:pStyle w:val="231"/>
        <w:rPr>
          <w:rFonts w:ascii="宋体" w:hAnsi="宋体"/>
        </w:rPr>
      </w:pPr>
      <w:bookmarkStart w:id="48" w:name="_Hlk98143875"/>
      <w:r>
        <w:rPr>
          <w:rFonts w:hint="eastAsia" w:ascii="宋体" w:hAnsi="宋体"/>
        </w:rPr>
        <w:t>是指靠近用户侧部署、为边缘计算提供运行环境的建筑场所，机架数量不超过100个标准机架</w:t>
      </w:r>
      <w:r>
        <w:rPr>
          <w:rFonts w:hint="eastAsia"/>
        </w:rPr>
        <w:t>。</w:t>
      </w:r>
      <w:bookmarkEnd w:id="48"/>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超算数据中心 </w:t>
      </w:r>
      <w:r>
        <w:rPr>
          <w:rFonts w:ascii="黑体" w:hAnsi="黑体" w:eastAsia="黑体"/>
        </w:rPr>
        <w:t>supercomputing data center</w:t>
      </w:r>
    </w:p>
    <w:p>
      <w:pPr>
        <w:pStyle w:val="231"/>
      </w:pPr>
      <w:r>
        <w:rPr>
          <w:rFonts w:hint="eastAsia"/>
        </w:rPr>
        <w:t>是指为超级计算提供运行环境的建筑场所。</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电能利用效率（P</w:t>
      </w:r>
      <w:r>
        <w:rPr>
          <w:rFonts w:ascii="黑体" w:hAnsi="黑体" w:eastAsia="黑体"/>
        </w:rPr>
        <w:t>UE</w:t>
      </w:r>
      <w:r>
        <w:rPr>
          <w:rFonts w:hint="eastAsia" w:ascii="黑体" w:hAnsi="黑体" w:eastAsia="黑体"/>
        </w:rPr>
        <w:t>）</w:t>
      </w:r>
      <w:r>
        <w:rPr>
          <w:rFonts w:ascii="黑体" w:hAnsi="黑体" w:eastAsia="黑体"/>
        </w:rPr>
        <w:t>power usage effectiveness</w:t>
      </w:r>
    </w:p>
    <w:p>
      <w:pPr>
        <w:pStyle w:val="231"/>
      </w:pPr>
      <w:r>
        <w:rPr>
          <w:rFonts w:hint="eastAsia"/>
        </w:rPr>
        <w:t>一定时间周期内数据中心总电能消耗量与信息设备电能消耗量的比值。</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水资源使用效率（W</w:t>
      </w:r>
      <w:r>
        <w:rPr>
          <w:rFonts w:ascii="黑体" w:hAnsi="黑体" w:eastAsia="黑体"/>
        </w:rPr>
        <w:t>UE</w:t>
      </w:r>
      <w:r>
        <w:rPr>
          <w:rFonts w:hint="eastAsia" w:ascii="黑体" w:hAnsi="黑体" w:eastAsia="黑体"/>
        </w:rPr>
        <w:t>）water</w:t>
      </w:r>
      <w:r>
        <w:rPr>
          <w:rFonts w:ascii="黑体" w:hAnsi="黑体" w:eastAsia="黑体"/>
        </w:rPr>
        <w:t xml:space="preserve"> energy usage effectiveness</w:t>
      </w:r>
    </w:p>
    <w:p>
      <w:pPr>
        <w:pStyle w:val="57"/>
        <w:ind w:firstLine="420"/>
      </w:pPr>
      <w:r>
        <w:rPr>
          <w:rFonts w:hint="eastAsia"/>
        </w:rPr>
        <w:t>一定时间周期内数据中心水资源消耗量与信息设备电能消耗量的比值。</w:t>
      </w:r>
    </w:p>
    <w:p>
      <w:pPr>
        <w:pStyle w:val="105"/>
        <w:spacing w:before="312" w:after="312"/>
      </w:pPr>
      <w:bookmarkStart w:id="49" w:name="_Toc87961409"/>
      <w:r>
        <w:rPr>
          <w:rFonts w:hint="eastAsia"/>
        </w:rPr>
        <w:t>节能总体要求</w:t>
      </w:r>
      <w:bookmarkEnd w:id="49"/>
    </w:p>
    <w:p>
      <w:pPr>
        <w:pStyle w:val="106"/>
        <w:spacing w:before="156" w:after="156"/>
      </w:pPr>
      <w:bookmarkStart w:id="50" w:name="_Toc87961410"/>
      <w:r>
        <w:rPr>
          <w:rFonts w:hint="eastAsia"/>
        </w:rPr>
        <w:t>总体要求</w:t>
      </w:r>
      <w:bookmarkEnd w:id="50"/>
    </w:p>
    <w:p>
      <w:pPr>
        <w:pStyle w:val="231"/>
      </w:pPr>
      <w:r>
        <w:rPr>
          <w:rFonts w:hint="eastAsia"/>
        </w:rPr>
        <w:t>数据中心设计应符合G</w:t>
      </w:r>
      <w:r>
        <w:t>B 50174</w:t>
      </w:r>
      <w:r>
        <w:rPr>
          <w:rFonts w:hint="eastAsia"/>
        </w:rPr>
        <w:t>的要求。</w:t>
      </w:r>
    </w:p>
    <w:p>
      <w:pPr>
        <w:pStyle w:val="231"/>
      </w:pPr>
      <w:r>
        <w:rPr>
          <w:rFonts w:hint="eastAsia"/>
        </w:rPr>
        <w:t>数据中心任何节能设计均不应以牺牲后端I</w:t>
      </w:r>
      <w:r>
        <w:t>CT</w:t>
      </w:r>
      <w:r>
        <w:rPr>
          <w:rFonts w:hint="eastAsia"/>
        </w:rPr>
        <w:t>设备的寿命和降低系统的安全为代价，不得影响整个数据中心安全稳定运行。</w:t>
      </w:r>
    </w:p>
    <w:p>
      <w:pPr>
        <w:pStyle w:val="231"/>
      </w:pPr>
      <w:r>
        <w:rPr>
          <w:rFonts w:hint="eastAsia"/>
        </w:rPr>
        <w:t>数据中心任何节能设计要在保证供数据中心稳定、可靠和安全运行基础上，优先采用各类节能设备、各子系统节能技术以及机房整体节能技术。</w:t>
      </w:r>
    </w:p>
    <w:p>
      <w:pPr>
        <w:pStyle w:val="231"/>
      </w:pPr>
      <w:r>
        <w:rPr>
          <w:rFonts w:hint="eastAsia"/>
        </w:rPr>
        <w:t>数据中心通过节能设计应优先采用可再生能源和自然冷源，应利用各类节能技术提升能效，从而降低整体能耗以及碳排放量。</w:t>
      </w:r>
    </w:p>
    <w:p>
      <w:pPr>
        <w:pStyle w:val="231"/>
      </w:pPr>
      <w:r>
        <w:rPr>
          <w:rFonts w:hint="eastAsia"/>
        </w:rPr>
        <w:t>数据中心应当为第三方检测、监测、评价等机构取证、采集接入设备提供相应接口。</w:t>
      </w:r>
    </w:p>
    <w:p>
      <w:pPr>
        <w:pStyle w:val="106"/>
        <w:spacing w:before="156" w:after="156"/>
      </w:pPr>
      <w:bookmarkStart w:id="51" w:name="_Toc87961411"/>
      <w:r>
        <w:rPr>
          <w:rFonts w:hint="eastAsia"/>
        </w:rPr>
        <w:t>能效要求</w:t>
      </w:r>
      <w:bookmarkEnd w:id="51"/>
    </w:p>
    <w:p>
      <w:pPr>
        <w:pStyle w:val="225"/>
        <w:ind w:left="420" w:hanging="420" w:hangingChars="200"/>
      </w:pPr>
      <w:r>
        <w:rPr>
          <w:rFonts w:hint="eastAsia" w:ascii="黑体" w:hAnsi="黑体" w:eastAsia="黑体"/>
        </w:rPr>
        <w:t>电能使用效率</w:t>
      </w:r>
      <w:r>
        <w:rPr>
          <w:rFonts w:ascii="黑体" w:hAnsi="黑体" w:eastAsia="黑体"/>
        </w:rPr>
        <w:br w:type="textWrapping"/>
      </w:r>
      <w:r>
        <w:rPr>
          <w:rFonts w:hint="eastAsia"/>
        </w:rPr>
        <w:t>按照YD/T 2543-2013的要求，数据中心电能使用效率PUE值可由公式（1）算出。</w:t>
      </w:r>
    </w:p>
    <w:p>
      <w:pPr>
        <w:pStyle w:val="114"/>
      </w:pPr>
      <w:r>
        <w:tab/>
      </w:r>
      <m:oMath>
        <m:r>
          <m:rPr/>
          <w:rPr>
            <w:rFonts w:ascii="Cambria Math" w:hAnsi="Cambria Math"/>
          </w:rPr>
          <m:t>PUE=</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total</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IT</m:t>
                </m:r>
                <m:ctrlPr>
                  <w:rPr>
                    <w:rFonts w:ascii="Cambria Math" w:hAnsi="Cambria Math"/>
                    <w:i/>
                  </w:rPr>
                </m:ctrlPr>
              </m:sub>
            </m:sSub>
            <m:ctrlPr>
              <w:rPr>
                <w:rFonts w:ascii="Cambria Math" w:hAnsi="Cambria Math"/>
                <w:i/>
              </w:rPr>
            </m:ctrlPr>
          </m:den>
        </m:f>
      </m:oMath>
      <w:r>
        <w:rPr>
          <w:rFonts w:ascii="微软雅黑" w:hAnsi="微软雅黑" w:eastAsia="微软雅黑"/>
        </w:rPr>
        <w:tab/>
      </w:r>
      <w:r>
        <w:t>(</w:t>
      </w:r>
      <w:r>
        <w:fldChar w:fldCharType="begin"/>
      </w:r>
      <w:r>
        <w:instrText xml:space="preserve"> AUTONUM </w:instrText>
      </w:r>
      <w:r>
        <w:fldChar w:fldCharType="end"/>
      </w:r>
      <w:r>
        <w:t>)</w:t>
      </w:r>
    </w:p>
    <w:p>
      <w:pPr>
        <w:pStyle w:val="56"/>
        <w:ind w:firstLine="420"/>
      </w:pPr>
      <w:r>
        <w:rPr>
          <w:rFonts w:hint="eastAsia"/>
        </w:rPr>
        <w:t>式中：</w:t>
      </w:r>
    </w:p>
    <w:p>
      <w:pPr>
        <w:pStyle w:val="231"/>
      </w:pPr>
      <w:r>
        <w:rPr>
          <w:rFonts w:hint="eastAsia"/>
        </w:rPr>
        <w:t>E</w:t>
      </w:r>
      <w:r>
        <w:rPr>
          <w:rFonts w:hint="eastAsia"/>
          <w:vertAlign w:val="subscript"/>
        </w:rPr>
        <w:t>TOTAL</w:t>
      </w:r>
      <w:r>
        <w:rPr>
          <w:rFonts w:hint="eastAsia"/>
        </w:rPr>
        <w:t>为数据中心消耗总电能，单位为kWh；</w:t>
      </w:r>
    </w:p>
    <w:p>
      <w:pPr>
        <w:pStyle w:val="231"/>
      </w:pPr>
      <w:r>
        <w:rPr>
          <w:rFonts w:hint="eastAsia"/>
        </w:rPr>
        <w:t>E</w:t>
      </w:r>
      <w:r>
        <w:rPr>
          <w:rFonts w:hint="eastAsia"/>
          <w:vertAlign w:val="subscript"/>
        </w:rPr>
        <w:t>IT</w:t>
      </w:r>
      <w:r>
        <w:rPr>
          <w:rFonts w:hint="eastAsia"/>
        </w:rPr>
        <w:t>为主设备消耗电能, 单位为kWh。</w:t>
      </w:r>
    </w:p>
    <w:p>
      <w:pPr>
        <w:pStyle w:val="57"/>
        <w:ind w:firstLine="420"/>
        <w:rPr>
          <w:rFonts w:ascii="Times New Roman"/>
        </w:rPr>
      </w:pPr>
      <w:r>
        <w:rPr>
          <w:rFonts w:hint="eastAsia"/>
        </w:rPr>
        <w:t>数据中心年平均P</w:t>
      </w:r>
      <w:r>
        <w:t>UE</w:t>
      </w:r>
      <w:r>
        <w:rPr>
          <w:rFonts w:hint="eastAsia"/>
        </w:rPr>
        <w:t>应满足</w:t>
      </w:r>
      <w:r>
        <w:rPr>
          <w:rFonts w:ascii="Times New Roman"/>
        </w:rPr>
        <w:t>DB11/T 1139</w:t>
      </w:r>
      <w:r>
        <w:rPr>
          <w:rFonts w:hint="eastAsia" w:ascii="Times New Roman"/>
        </w:rPr>
        <w:t>相关要求。</w:t>
      </w:r>
    </w:p>
    <w:p>
      <w:pPr>
        <w:pStyle w:val="225"/>
        <w:ind w:left="420" w:hanging="420" w:hangingChars="200"/>
        <w:rPr>
          <w:rFonts w:ascii="黑体" w:hAnsi="黑体" w:eastAsia="黑体"/>
        </w:rPr>
      </w:pPr>
      <w:r>
        <w:rPr>
          <w:rFonts w:hint="eastAsia" w:ascii="黑体" w:hAnsi="黑体" w:eastAsia="黑体"/>
        </w:rPr>
        <w:t>水资源使用效率</w:t>
      </w:r>
    </w:p>
    <w:p>
      <w:pPr>
        <w:pStyle w:val="225"/>
        <w:numPr>
          <w:ilvl w:val="0"/>
          <w:numId w:val="0"/>
        </w:numPr>
        <w:ind w:firstLine="420" w:firstLineChars="200"/>
        <w:rPr>
          <w:rFonts w:hAnsi="宋体"/>
        </w:rPr>
      </w:pPr>
      <w:r>
        <w:rPr>
          <w:rFonts w:hint="eastAsia"/>
        </w:rPr>
        <w:t>数据中心宜根据用途选择使用非传统水源，宜使用中水、再生水，推进水资源循环利用</w:t>
      </w:r>
      <w:r>
        <w:rPr>
          <w:rFonts w:hint="eastAsia" w:hAnsi="宋体"/>
        </w:rPr>
        <w:t>，并应对不同水源、不同用途进行水资源分项计量。</w:t>
      </w:r>
    </w:p>
    <w:p>
      <w:pPr>
        <w:pStyle w:val="225"/>
        <w:numPr>
          <w:ilvl w:val="0"/>
          <w:numId w:val="0"/>
        </w:numPr>
        <w:ind w:firstLine="420" w:firstLineChars="200"/>
      </w:pPr>
      <w:r>
        <w:rPr>
          <w:rFonts w:hint="eastAsia"/>
        </w:rPr>
        <w:t>数据中心水资源使用效率（W</w:t>
      </w:r>
      <w:r>
        <w:t>UE</w:t>
      </w:r>
      <w:r>
        <w:rPr>
          <w:rFonts w:hint="eastAsia"/>
        </w:rPr>
        <w:t>）可由公式（2）算出：</w:t>
      </w:r>
    </w:p>
    <w:p>
      <w:pPr>
        <w:pStyle w:val="57"/>
        <w:ind w:firstLine="199" w:firstLineChars="95"/>
        <w:jc w:val="center"/>
      </w:pPr>
      <w:r>
        <w:t xml:space="preserve">               </w:t>
      </w:r>
      <w:r>
        <w:rPr>
          <w:rFonts w:hint="eastAsia"/>
        </w:rPr>
        <w:t xml:space="preserve"> </w:t>
      </w:r>
      <w:r>
        <w:t xml:space="preserve">                    </w:t>
      </w:r>
      <m:oMath>
        <m:r>
          <m:rPr/>
          <w:rPr>
            <w:rFonts w:ascii="Cambria Math" w:hAnsi="Cambria Math"/>
          </w:rPr>
          <m:t>WUE=</m:t>
        </m:r>
        <m:f>
          <m:fPr>
            <m:ctrlPr>
              <w:rPr>
                <w:rFonts w:ascii="Cambria Math" w:hAnsi="Cambria Math"/>
                <w:i/>
              </w:rPr>
            </m:ctrlPr>
          </m:fPr>
          <m:num>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total</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IT</m:t>
                </m:r>
                <m:ctrlPr>
                  <w:rPr>
                    <w:rFonts w:ascii="Cambria Math" w:hAnsi="Cambria Math"/>
                    <w:i/>
                  </w:rPr>
                </m:ctrlPr>
              </m:sub>
            </m:sSub>
            <m:ctrlPr>
              <w:rPr>
                <w:rFonts w:ascii="Cambria Math" w:hAnsi="Cambria Math"/>
                <w:i/>
              </w:rPr>
            </m:ctrlPr>
          </m:den>
        </m:f>
      </m:oMath>
      <w:r>
        <w:rPr>
          <w:rFonts w:hint="eastAsia"/>
        </w:rPr>
        <w:t>………………………………………………(</w:t>
      </w:r>
      <w:r>
        <w:t>2)</w:t>
      </w:r>
    </w:p>
    <w:p>
      <w:pPr>
        <w:pStyle w:val="56"/>
        <w:ind w:firstLine="420"/>
      </w:pPr>
      <w:r>
        <w:rPr>
          <w:rFonts w:hint="eastAsia"/>
        </w:rPr>
        <w:t>式中：</w:t>
      </w:r>
    </w:p>
    <w:p>
      <w:pPr>
        <w:pStyle w:val="231"/>
      </w:pPr>
      <w:r>
        <w:t>W</w:t>
      </w:r>
      <w:r>
        <w:rPr>
          <w:rFonts w:hint="eastAsia"/>
          <w:vertAlign w:val="subscript"/>
        </w:rPr>
        <w:t>TOTAL</w:t>
      </w:r>
      <w:r>
        <w:rPr>
          <w:rFonts w:hint="eastAsia"/>
        </w:rPr>
        <w:t>为数据中心消耗总用水，单位为</w:t>
      </w:r>
      <w:r>
        <w:t>L</w:t>
      </w:r>
      <w:r>
        <w:rPr>
          <w:rFonts w:hint="eastAsia"/>
        </w:rPr>
        <w:t>；</w:t>
      </w:r>
    </w:p>
    <w:p>
      <w:pPr>
        <w:pStyle w:val="57"/>
        <w:ind w:firstLine="420"/>
      </w:pPr>
      <w:r>
        <w:rPr>
          <w:rFonts w:hint="eastAsia"/>
        </w:rPr>
        <w:t>E</w:t>
      </w:r>
      <w:r>
        <w:rPr>
          <w:rFonts w:hint="eastAsia"/>
          <w:vertAlign w:val="subscript"/>
        </w:rPr>
        <w:t>IT</w:t>
      </w:r>
      <w:r>
        <w:rPr>
          <w:rFonts w:hint="eastAsia"/>
        </w:rPr>
        <w:t>为主设备消耗电能, 单位为kWh。</w:t>
      </w:r>
    </w:p>
    <w:p>
      <w:pPr>
        <w:pStyle w:val="225"/>
        <w:numPr>
          <w:ilvl w:val="0"/>
          <w:numId w:val="0"/>
        </w:numPr>
        <w:ind w:firstLine="420" w:firstLineChars="200"/>
        <w:rPr>
          <w:rFonts w:hAnsi="宋体"/>
        </w:rPr>
      </w:pPr>
      <w:r>
        <w:rPr>
          <w:rFonts w:hint="eastAsia" w:hAnsi="宋体"/>
        </w:rPr>
        <w:t>数据中心水资源使用效率（W</w:t>
      </w:r>
      <w:r>
        <w:rPr>
          <w:rFonts w:hAnsi="宋体"/>
        </w:rPr>
        <w:t>UE</w:t>
      </w:r>
      <w:r>
        <w:rPr>
          <w:rFonts w:hint="eastAsia" w:hAnsi="宋体"/>
        </w:rPr>
        <w:t>）应不高于1</w:t>
      </w:r>
      <w:r>
        <w:rPr>
          <w:rFonts w:hAnsi="宋体"/>
        </w:rPr>
        <w:t>.</w:t>
      </w:r>
      <w:r>
        <w:rPr>
          <w:rFonts w:hint="eastAsia" w:hAnsi="宋体"/>
        </w:rPr>
        <w:t>6</w:t>
      </w:r>
      <w:r>
        <w:rPr>
          <w:rFonts w:hAnsi="宋体"/>
        </w:rPr>
        <w:t>L/kW·h</w:t>
      </w:r>
      <w:r>
        <w:rPr>
          <w:rFonts w:hint="eastAsia" w:hAnsi="宋体"/>
        </w:rPr>
        <w:t>。</w:t>
      </w:r>
    </w:p>
    <w:p>
      <w:pPr>
        <w:pStyle w:val="57"/>
        <w:ind w:firstLine="420"/>
        <w:rPr>
          <w:rFonts w:hAnsi="宋体"/>
        </w:rPr>
      </w:pPr>
      <w:r>
        <w:rPr>
          <w:rFonts w:hint="eastAsia" w:hAnsi="宋体"/>
        </w:rPr>
        <w:t>新、改、扩建的数据中心应按照DB11/T 1768-2020的要求对内部水表进行选型、配置和安装。</w:t>
      </w:r>
    </w:p>
    <w:p>
      <w:pPr>
        <w:pStyle w:val="57"/>
        <w:ind w:firstLine="420"/>
      </w:pPr>
      <w:r>
        <w:rPr>
          <w:rFonts w:hint="eastAsia" w:hAnsi="宋体"/>
        </w:rPr>
        <w:t>宜考虑数据中心</w:t>
      </w:r>
      <w:r>
        <w:rPr>
          <w:rFonts w:hint="eastAsia"/>
        </w:rPr>
        <w:t>常规水和非常规水回收利用设置，进一步提升水资源使用效率。</w:t>
      </w:r>
    </w:p>
    <w:p>
      <w:pPr>
        <w:pStyle w:val="106"/>
        <w:spacing w:before="156" w:after="156"/>
      </w:pPr>
      <w:bookmarkStart w:id="52" w:name="_Toc87961412"/>
      <w:r>
        <w:rPr>
          <w:rFonts w:hint="eastAsia"/>
        </w:rPr>
        <w:t>能耗要求</w:t>
      </w:r>
      <w:bookmarkEnd w:id="52"/>
    </w:p>
    <w:p>
      <w:pPr>
        <w:pStyle w:val="231"/>
        <w:tabs>
          <w:tab w:val="center" w:pos="1134"/>
          <w:tab w:val="clear" w:pos="4201"/>
        </w:tabs>
      </w:pPr>
      <w:r>
        <w:rPr>
          <w:rFonts w:hint="eastAsia"/>
        </w:rPr>
        <w:t>不同类型数据中心能耗指标要求如下：</w:t>
      </w:r>
    </w:p>
    <w:p>
      <w:pPr>
        <w:pStyle w:val="110"/>
      </w:pPr>
      <w:r>
        <w:rPr>
          <w:rFonts w:hint="eastAsia"/>
        </w:rPr>
        <w:t>新建云数据中心单机架功率不应低于6</w:t>
      </w:r>
      <w:r>
        <w:t>kW</w:t>
      </w:r>
      <w:r>
        <w:rPr>
          <w:rFonts w:hint="eastAsia"/>
        </w:rPr>
        <w:t>，用于数据存储功能的机柜功率比例应不高于机柜总功率的2</w:t>
      </w:r>
      <w:r>
        <w:t>0%</w:t>
      </w:r>
      <w:r>
        <w:rPr>
          <w:rFonts w:hint="eastAsia"/>
        </w:rPr>
        <w:t>。</w:t>
      </w:r>
    </w:p>
    <w:p>
      <w:pPr>
        <w:pStyle w:val="110"/>
      </w:pPr>
      <w:r>
        <w:rPr>
          <w:rFonts w:hint="eastAsia"/>
        </w:rPr>
        <w:t>对于平均单机架功率低于3</w:t>
      </w:r>
      <w:r>
        <w:t>kW</w:t>
      </w:r>
      <w:r>
        <w:rPr>
          <w:rFonts w:hint="eastAsia"/>
        </w:rPr>
        <w:t>的数据中心应进行改造，改造后数据中心消耗总电能不得超过改造前。</w:t>
      </w:r>
    </w:p>
    <w:p>
      <w:pPr>
        <w:pStyle w:val="105"/>
        <w:spacing w:before="312" w:after="312"/>
      </w:pPr>
      <w:bookmarkStart w:id="53" w:name="_Toc87961413"/>
      <w:r>
        <w:rPr>
          <w:rFonts w:hint="eastAsia"/>
        </w:rPr>
        <w:t>余热回收</w:t>
      </w:r>
      <w:bookmarkEnd w:id="53"/>
    </w:p>
    <w:p>
      <w:pPr>
        <w:pStyle w:val="110"/>
        <w:numPr>
          <w:ilvl w:val="1"/>
          <w:numId w:val="32"/>
        </w:numPr>
      </w:pPr>
      <w:r>
        <w:rPr>
          <w:rFonts w:hint="eastAsia"/>
        </w:rPr>
        <w:t>各类新建数据中心应进行热源利用，采用余热回收利用措施。</w:t>
      </w:r>
    </w:p>
    <w:p>
      <w:pPr>
        <w:pStyle w:val="110"/>
        <w:numPr>
          <w:ilvl w:val="1"/>
          <w:numId w:val="32"/>
        </w:numPr>
      </w:pPr>
      <w:r>
        <w:rPr>
          <w:rFonts w:hint="eastAsia"/>
        </w:rPr>
        <w:t>各类存量数据中心宜采用余热回收利用措施。通过自用、对外供热等方式加强余热资源利用。</w:t>
      </w:r>
      <w:bookmarkStart w:id="54" w:name="_Toc87961414"/>
    </w:p>
    <w:p>
      <w:pPr>
        <w:pStyle w:val="105"/>
        <w:spacing w:before="312" w:after="312"/>
      </w:pPr>
      <w:r>
        <w:rPr>
          <w:rFonts w:hint="eastAsia"/>
        </w:rPr>
        <w:t>云边协同节能设计要求</w:t>
      </w:r>
    </w:p>
    <w:bookmarkEnd w:id="54"/>
    <w:p>
      <w:pPr>
        <w:pStyle w:val="231"/>
      </w:pPr>
      <w:r>
        <w:rPr>
          <w:rFonts w:hint="eastAsia"/>
        </w:rPr>
        <w:t>边缘数据中心和云数据中心应为相互协调运作关系。</w:t>
      </w:r>
    </w:p>
    <w:p>
      <w:pPr>
        <w:pStyle w:val="110"/>
        <w:numPr>
          <w:ilvl w:val="1"/>
          <w:numId w:val="33"/>
        </w:numPr>
      </w:pPr>
      <w:r>
        <w:rPr>
          <w:rFonts w:hint="eastAsia"/>
        </w:rPr>
        <w:t>需要低延时和节省带宽的场景可以采用边缘的解决方案，即边缘数据中心的设备应进行计算；</w:t>
      </w:r>
    </w:p>
    <w:p>
      <w:pPr>
        <w:pStyle w:val="110"/>
        <w:numPr>
          <w:ilvl w:val="1"/>
          <w:numId w:val="33"/>
        </w:numPr>
      </w:pPr>
      <w:r>
        <w:rPr>
          <w:rFonts w:hint="eastAsia"/>
        </w:rPr>
        <w:t>时延不敏感、对带宽消耗不大的传统业务仍然可以采用云数据中心方案解决，即云数据中心的设备进行计算。</w:t>
      </w:r>
    </w:p>
    <w:p>
      <w:pPr>
        <w:pStyle w:val="110"/>
        <w:numPr>
          <w:ilvl w:val="1"/>
          <w:numId w:val="33"/>
        </w:numPr>
      </w:pPr>
      <w:r>
        <w:rPr>
          <w:rFonts w:hint="eastAsia"/>
        </w:rPr>
        <w:t>室内边缘数据中心宜采用微模块数据中心形式或室外集装箱形式，从而实现在业务端灵活部署。</w:t>
      </w:r>
    </w:p>
    <w:p>
      <w:pPr>
        <w:pStyle w:val="105"/>
        <w:spacing w:before="312" w:after="312"/>
      </w:pPr>
      <w:bookmarkStart w:id="55" w:name="_Toc87961415"/>
      <w:r>
        <w:rPr>
          <w:rFonts w:hint="eastAsia"/>
        </w:rPr>
        <w:t>选址和设备布置节能要求</w:t>
      </w:r>
      <w:bookmarkEnd w:id="55"/>
    </w:p>
    <w:p>
      <w:pPr>
        <w:pStyle w:val="106"/>
        <w:spacing w:before="156" w:after="156"/>
      </w:pPr>
      <w:bookmarkStart w:id="56" w:name="_Toc87961416"/>
      <w:r>
        <w:rPr>
          <w:rFonts w:hint="eastAsia"/>
        </w:rPr>
        <w:t>选址节能要求</w:t>
      </w:r>
      <w:bookmarkEnd w:id="56"/>
    </w:p>
    <w:p>
      <w:pPr>
        <w:pStyle w:val="231"/>
        <w:tabs>
          <w:tab w:val="right" w:leader="dot" w:pos="0"/>
        </w:tabs>
        <w:ind w:right="422" w:rightChars="201"/>
      </w:pPr>
      <w:r>
        <w:rPr>
          <w:rFonts w:hint="eastAsia"/>
        </w:rPr>
        <w:t>数据中心选址应符合下列要求：</w:t>
      </w:r>
    </w:p>
    <w:p>
      <w:pPr>
        <w:pStyle w:val="110"/>
        <w:numPr>
          <w:ilvl w:val="1"/>
          <w:numId w:val="34"/>
        </w:numPr>
      </w:pPr>
      <w:r>
        <w:rPr>
          <w:rFonts w:hint="eastAsia"/>
        </w:rPr>
        <w:t>数据中心选址应考虑当地环境条件的影响，远离产生粉尘、油烟、有害气体以及生产或贮存具有腐蚀性、易燃、易爆物品的场所，远离洪涝、滑坡、泥石流等自然灾害的威胁区域，远离强电磁场干扰、含有害物质土壤等有害区域，远离住宅等噪声敏感建筑物。</w:t>
      </w:r>
    </w:p>
    <w:p>
      <w:pPr>
        <w:pStyle w:val="110"/>
      </w:pPr>
      <w:r>
        <w:rPr>
          <w:rFonts w:hint="eastAsia"/>
        </w:rPr>
        <w:t>应选择电力供给充足可靠，通信快速畅通，交通便捷的区域，且数据中心的能耗应满足区域相关要求。</w:t>
      </w:r>
    </w:p>
    <w:p>
      <w:pPr>
        <w:pStyle w:val="110"/>
      </w:pPr>
      <w:r>
        <w:rPr>
          <w:rFonts w:hint="eastAsia"/>
        </w:rPr>
        <w:t>采用水蒸发冷却方式制冷的数据中心，</w:t>
      </w:r>
      <w:r>
        <w:rPr>
          <w:rFonts w:hint="eastAsia" w:cs="Tahoma" w:asciiTheme="minorEastAsia" w:hAnsiTheme="minorEastAsia"/>
          <w:sz w:val="22"/>
          <w:szCs w:val="22"/>
        </w:rPr>
        <w:t>宜优先选取再生水管网覆盖范围内的区域</w:t>
      </w:r>
      <w:r>
        <w:rPr>
          <w:rFonts w:hint="eastAsia"/>
        </w:rPr>
        <w:t>。</w:t>
      </w:r>
    </w:p>
    <w:p>
      <w:pPr>
        <w:pStyle w:val="110"/>
      </w:pPr>
      <w:r>
        <w:rPr>
          <w:rFonts w:hint="eastAsia"/>
        </w:rPr>
        <w:t>在可再生能源充足区域，应优先利用可再生能源。</w:t>
      </w:r>
    </w:p>
    <w:p>
      <w:pPr>
        <w:pStyle w:val="110"/>
      </w:pPr>
      <w:r>
        <w:rPr>
          <w:rFonts w:hint="eastAsia"/>
        </w:rPr>
        <w:t>应选择自然环境清洁，空气质量优质的区域，从而有利于进一步应用自然风冷源。</w:t>
      </w:r>
    </w:p>
    <w:p>
      <w:pPr>
        <w:pStyle w:val="110"/>
      </w:pPr>
      <w:r>
        <w:rPr>
          <w:rFonts w:hint="eastAsia"/>
        </w:rPr>
        <w:t>设置在建筑物内局部区域的数据中心，在确定主机房的位置时，应对安全、设备运输、管线敷设、雷电感应、结构荷载、水患及空调系统室外设备的安装位置等问题进行综合分析和经济比较。</w:t>
      </w:r>
    </w:p>
    <w:p>
      <w:pPr>
        <w:pStyle w:val="106"/>
        <w:spacing w:before="156" w:after="156"/>
      </w:pPr>
      <w:bookmarkStart w:id="57" w:name="_Toc87961417"/>
      <w:r>
        <w:rPr>
          <w:rFonts w:hint="eastAsia"/>
        </w:rPr>
        <w:t>设置布置节能要求</w:t>
      </w:r>
      <w:bookmarkEnd w:id="57"/>
    </w:p>
    <w:p>
      <w:pPr>
        <w:pStyle w:val="110"/>
        <w:numPr>
          <w:ilvl w:val="1"/>
          <w:numId w:val="35"/>
        </w:numPr>
      </w:pPr>
      <w:r>
        <w:rPr>
          <w:rFonts w:hint="eastAsia"/>
        </w:rPr>
        <w:t>数据中心机房布局时应整体把握，合理规划，统筹安排，宜按模块化布局，合理设置楼层，适应数据中心动态扩展。</w:t>
      </w:r>
    </w:p>
    <w:p>
      <w:pPr>
        <w:pStyle w:val="110"/>
      </w:pPr>
      <w:r>
        <w:rPr>
          <w:rFonts w:hint="eastAsia"/>
        </w:rPr>
        <w:t>设备的布局应考虑空调系统送风方式与主设备的气流组织相吻合，若方向不一致时应安装导流板或者盲板等形式，保持气流组织的畅通。</w:t>
      </w:r>
    </w:p>
    <w:p>
      <w:pPr>
        <w:pStyle w:val="110"/>
      </w:pPr>
      <w:r>
        <w:rPr>
          <w:rFonts w:hint="eastAsia"/>
        </w:rPr>
        <w:t>变配电、不间断电源机房等支撑类设备宜设置在用电负荷中心，应优化供电线路设计，缩短供电半径，降低线路损耗。</w:t>
      </w:r>
    </w:p>
    <w:p>
      <w:pPr>
        <w:pStyle w:val="110"/>
      </w:pPr>
      <w:r>
        <w:rPr>
          <w:rFonts w:hint="eastAsia"/>
        </w:rPr>
        <w:t>对分散式空调系统，空调室外机平台宜设置在通风良好、避免阳光直射的位置，并邻近数据中心；对于半分散式或集中式空调系统，空调制冷机房宜接近空调负荷中心，如采用列间空调、背板空调、顶置空调等近端制冷设备，预留设备扩展位置，满足机房动态扩展需要。</w:t>
      </w:r>
    </w:p>
    <w:p>
      <w:pPr>
        <w:pStyle w:val="105"/>
        <w:spacing w:before="312" w:after="312"/>
      </w:pPr>
      <w:bookmarkStart w:id="58" w:name="_Toc87961418"/>
      <w:r>
        <w:rPr>
          <w:rFonts w:hint="eastAsia"/>
        </w:rPr>
        <w:t>建筑与结构节能要求</w:t>
      </w:r>
      <w:bookmarkEnd w:id="58"/>
    </w:p>
    <w:p>
      <w:pPr>
        <w:pStyle w:val="106"/>
        <w:spacing w:before="156" w:after="156"/>
      </w:pPr>
      <w:bookmarkStart w:id="59" w:name="_Toc87961419"/>
      <w:r>
        <w:rPr>
          <w:rFonts w:hint="eastAsia"/>
        </w:rPr>
        <w:t>围护结构热工设计和节能要求</w:t>
      </w:r>
      <w:bookmarkEnd w:id="59"/>
    </w:p>
    <w:p>
      <w:pPr>
        <w:pStyle w:val="110"/>
        <w:numPr>
          <w:ilvl w:val="1"/>
          <w:numId w:val="36"/>
        </w:numPr>
      </w:pPr>
      <w:r>
        <w:rPr>
          <w:rFonts w:hint="eastAsia"/>
        </w:rPr>
        <w:t>数据中心的建筑气候分区应符合G</w:t>
      </w:r>
      <w:r>
        <w:t>B 55015</w:t>
      </w:r>
      <w:r>
        <w:rPr>
          <w:rFonts w:hint="eastAsia"/>
        </w:rPr>
        <w:t>的规定，围护结构热工设计应符合</w:t>
      </w:r>
      <w:r>
        <w:t>DB11/687</w:t>
      </w:r>
      <w:r>
        <w:rPr>
          <w:rFonts w:hint="eastAsia"/>
        </w:rPr>
        <w:t>的规定。当主机房与外围护结构相邻时，对应部分外围护结构的热工性能应根据全年动态能耗分析情况确定最优值；</w:t>
      </w:r>
    </w:p>
    <w:p>
      <w:pPr>
        <w:pStyle w:val="110"/>
      </w:pPr>
      <w:r>
        <w:rPr>
          <w:rFonts w:hint="eastAsia"/>
        </w:rPr>
        <w:t>数据中心围护结构的材料选择应满足保温、隔热、防火、防潮、少产尘等要求。外墙、屋面热桥部位的内表面温度不应低于室内空气露点温度；</w:t>
      </w:r>
    </w:p>
    <w:p>
      <w:pPr>
        <w:pStyle w:val="110"/>
      </w:pPr>
      <w:r>
        <w:rPr>
          <w:rFonts w:hint="eastAsia"/>
        </w:rPr>
        <w:t>当采用气灭系统保护时，数据中心无需设置机械排烟系统；</w:t>
      </w:r>
    </w:p>
    <w:p>
      <w:pPr>
        <w:pStyle w:val="110"/>
      </w:pPr>
      <w:r>
        <w:rPr>
          <w:rFonts w:hint="eastAsia"/>
        </w:rPr>
        <w:t>主机房不宜设置外窗。当主机房设有外窗时，外窗的气密性不应低于GB/T</w:t>
      </w:r>
      <w:r>
        <w:t xml:space="preserve"> </w:t>
      </w:r>
      <w:r>
        <w:rPr>
          <w:rFonts w:hint="eastAsia"/>
        </w:rPr>
        <w:t>7106规定的8级要求或采用双层固定式玻璃窗，外窗应设置外部遮阳，得热系数S</w:t>
      </w:r>
      <w:r>
        <w:t>HGC</w:t>
      </w:r>
      <w:r>
        <w:rPr>
          <w:rFonts w:hint="eastAsia"/>
        </w:rPr>
        <w:t>应符合GB 50189要求。不间断电源系统的电池室设有外窗时，应避免阳光直射。</w:t>
      </w:r>
    </w:p>
    <w:p>
      <w:pPr>
        <w:pStyle w:val="106"/>
        <w:spacing w:before="156" w:after="156"/>
      </w:pPr>
      <w:bookmarkStart w:id="60" w:name="_Toc87961420"/>
      <w:r>
        <w:rPr>
          <w:rFonts w:hint="eastAsia"/>
        </w:rPr>
        <w:t>室内装修节能要求</w:t>
      </w:r>
      <w:bookmarkEnd w:id="60"/>
    </w:p>
    <w:p>
      <w:pPr>
        <w:pStyle w:val="110"/>
        <w:numPr>
          <w:ilvl w:val="1"/>
          <w:numId w:val="37"/>
        </w:numPr>
      </w:pPr>
      <w:r>
        <w:rPr>
          <w:rFonts w:hint="eastAsia"/>
        </w:rPr>
        <w:t>室内装修设计选用材料应符合G</w:t>
      </w:r>
      <w:r>
        <w:t>B 50174</w:t>
      </w:r>
      <w:r>
        <w:rPr>
          <w:rFonts w:hint="eastAsia"/>
        </w:rPr>
        <w:t xml:space="preserve">有关规定。 </w:t>
      </w:r>
    </w:p>
    <w:p>
      <w:pPr>
        <w:pStyle w:val="110"/>
      </w:pPr>
      <w:r>
        <w:rPr>
          <w:rFonts w:hint="eastAsia"/>
        </w:rPr>
        <w:t>室内装修设计选用材料应满足本地区环保相关要求。</w:t>
      </w:r>
    </w:p>
    <w:p>
      <w:pPr>
        <w:pStyle w:val="110"/>
      </w:pPr>
      <w:r>
        <w:rPr>
          <w:rFonts w:hint="eastAsia"/>
        </w:rPr>
        <w:t>数据中心优先采用可再循环利用的建筑材料。</w:t>
      </w:r>
    </w:p>
    <w:p>
      <w:pPr>
        <w:pStyle w:val="105"/>
        <w:spacing w:before="312" w:after="312"/>
      </w:pPr>
      <w:bookmarkStart w:id="61" w:name="_Toc87961421"/>
      <w:r>
        <w:rPr>
          <w:rFonts w:hint="eastAsia"/>
        </w:rPr>
        <w:t>制冷系统节能设计要求</w:t>
      </w:r>
      <w:bookmarkEnd w:id="61"/>
    </w:p>
    <w:p>
      <w:pPr>
        <w:pStyle w:val="110"/>
        <w:numPr>
          <w:ilvl w:val="1"/>
          <w:numId w:val="38"/>
        </w:numPr>
      </w:pPr>
      <w:r>
        <w:rPr>
          <w:rFonts w:hint="eastAsia"/>
        </w:rPr>
        <w:t>大型数据中心宜设置蓄冷设施，蓄冷时间应满足电子信息设备的运行要求；</w:t>
      </w:r>
    </w:p>
    <w:p>
      <w:pPr>
        <w:pStyle w:val="110"/>
        <w:numPr>
          <w:ilvl w:val="1"/>
          <w:numId w:val="38"/>
        </w:numPr>
      </w:pPr>
      <w:r>
        <w:rPr>
          <w:rFonts w:hint="eastAsia"/>
        </w:rPr>
        <w:t>控制系统、末端冷冻水泵、空调末端风机应由不间断电源系统供电；</w:t>
      </w:r>
    </w:p>
    <w:p>
      <w:pPr>
        <w:pStyle w:val="110"/>
        <w:numPr>
          <w:ilvl w:val="1"/>
          <w:numId w:val="38"/>
        </w:numPr>
      </w:pPr>
      <w:r>
        <w:rPr>
          <w:rFonts w:hint="eastAsia"/>
        </w:rPr>
        <w:t>冷冻水供回水管路宜采用环形管网或双供双回方式。</w:t>
      </w:r>
    </w:p>
    <w:p>
      <w:pPr>
        <w:pStyle w:val="110"/>
        <w:numPr>
          <w:ilvl w:val="1"/>
          <w:numId w:val="38"/>
        </w:numPr>
      </w:pPr>
      <w:r>
        <w:rPr>
          <w:rFonts w:hint="eastAsia"/>
        </w:rPr>
        <w:t>当水源不能可靠保证数据中心运行需要时，也可采用两种冷源供应方式；</w:t>
      </w:r>
    </w:p>
    <w:p>
      <w:pPr>
        <w:pStyle w:val="110"/>
        <w:numPr>
          <w:ilvl w:val="1"/>
          <w:numId w:val="38"/>
        </w:numPr>
      </w:pPr>
      <w:r>
        <w:rPr>
          <w:rFonts w:hint="eastAsia"/>
        </w:rPr>
        <w:t>空调和制冷设备的选用应符合运行可靠、经济适用、节能和环保的要求，宜选择环保工质制冷设备；</w:t>
      </w:r>
    </w:p>
    <w:p>
      <w:pPr>
        <w:pStyle w:val="106"/>
        <w:spacing w:before="156" w:after="156"/>
      </w:pPr>
      <w:bookmarkStart w:id="62" w:name="_Toc87961422"/>
      <w:r>
        <w:rPr>
          <w:rFonts w:hint="eastAsia"/>
        </w:rPr>
        <w:t>自然冷源利用</w:t>
      </w:r>
      <w:bookmarkEnd w:id="62"/>
    </w:p>
    <w:p>
      <w:pPr>
        <w:pStyle w:val="110"/>
        <w:numPr>
          <w:ilvl w:val="1"/>
          <w:numId w:val="39"/>
        </w:numPr>
      </w:pPr>
      <w:r>
        <w:rPr>
          <w:rFonts w:hint="eastAsia"/>
        </w:rPr>
        <w:t>冬天寒冷环境气候条件下，应充分利用自然冷源；</w:t>
      </w:r>
    </w:p>
    <w:p>
      <w:pPr>
        <w:pStyle w:val="110"/>
      </w:pPr>
      <w:r>
        <w:rPr>
          <w:rFonts w:hint="eastAsia"/>
        </w:rPr>
        <w:t>云数据中心宜采用水冷冷水机组空调系统，也可采用风冷冷水机组空调系统；</w:t>
      </w:r>
    </w:p>
    <w:p>
      <w:pPr>
        <w:pStyle w:val="110"/>
      </w:pPr>
      <w:r>
        <w:rPr>
          <w:rFonts w:hint="eastAsia"/>
        </w:rPr>
        <w:t>采用水冷冷水机组的空调系统，冬季可利用室外冷却塔作为冷源，其智能化运维控制应符合D</w:t>
      </w:r>
      <w:r>
        <w:t>B11/T 1770-2020</w:t>
      </w:r>
      <w:r>
        <w:rPr>
          <w:rFonts w:hint="eastAsia"/>
        </w:rPr>
        <w:t>相关要求；</w:t>
      </w:r>
    </w:p>
    <w:p>
      <w:pPr>
        <w:pStyle w:val="110"/>
      </w:pPr>
      <w:r>
        <w:rPr>
          <w:rFonts w:hint="eastAsia"/>
        </w:rPr>
        <w:t>采用风冷冷水机组的空调系统，设计时应采用自然冷却技术；</w:t>
      </w:r>
    </w:p>
    <w:p>
      <w:pPr>
        <w:pStyle w:val="110"/>
      </w:pPr>
      <w:r>
        <w:rPr>
          <w:rFonts w:hint="eastAsia"/>
        </w:rPr>
        <w:t>如当空气质量优良时，可采用全新风空调系统；</w:t>
      </w:r>
    </w:p>
    <w:p>
      <w:pPr>
        <w:pStyle w:val="110"/>
      </w:pPr>
      <w:r>
        <w:rPr>
          <w:rFonts w:hint="eastAsia"/>
        </w:rPr>
        <w:t>空调系统可采用电制冷与自然冷却相结合的方式。结合环境气候条件，</w:t>
      </w:r>
      <w:r>
        <w:rPr>
          <w:rFonts w:hint="eastAsia" w:asciiTheme="minorEastAsia" w:hAnsiTheme="minorEastAsia"/>
        </w:rPr>
        <w:t>采用变频空调变工况自然冷却或完全/部分自然冷却</w:t>
      </w:r>
      <w:r>
        <w:rPr>
          <w:rFonts w:hint="eastAsia"/>
        </w:rPr>
        <w:t>，也可以采用直接蒸发冷却或间接蒸发冷却等充分利用自然冷源的技术；</w:t>
      </w:r>
    </w:p>
    <w:p>
      <w:pPr>
        <w:pStyle w:val="110"/>
      </w:pPr>
      <w:r>
        <w:rPr>
          <w:rFonts w:hint="eastAsia"/>
        </w:rPr>
        <w:t>数据中心空调系统设计时，应分别计算自然冷却和余热回收的经济效益，应采用经济效益最大的节能设计方案；</w:t>
      </w:r>
    </w:p>
    <w:p>
      <w:pPr>
        <w:pStyle w:val="110"/>
      </w:pPr>
      <w:r>
        <w:rPr>
          <w:rFonts w:hint="eastAsia"/>
        </w:rPr>
        <w:t>应注意结霜情况，具备相应的防冻措施。</w:t>
      </w:r>
    </w:p>
    <w:p>
      <w:pPr>
        <w:pStyle w:val="106"/>
        <w:spacing w:before="156" w:after="156"/>
      </w:pPr>
      <w:bookmarkStart w:id="63" w:name="_Toc87961423"/>
      <w:r>
        <w:rPr>
          <w:rFonts w:hint="eastAsia"/>
        </w:rPr>
        <w:t>气流组织</w:t>
      </w:r>
      <w:bookmarkEnd w:id="63"/>
    </w:p>
    <w:p>
      <w:pPr>
        <w:pStyle w:val="231"/>
      </w:pPr>
      <w:r>
        <w:rPr>
          <w:rFonts w:hint="eastAsia"/>
        </w:rPr>
        <w:t>数据中心空调系统的气流组织形式，应根据电子信息设备本身的冷却方式、设备布置方式、设备散热量、室内风速、防尘和建筑条件综合确定，并宜采用计算流体动力学对主机房气流组织进行模拟和验证。</w:t>
      </w:r>
    </w:p>
    <w:p>
      <w:pPr>
        <w:pStyle w:val="231"/>
      </w:pPr>
      <w:r>
        <w:rPr>
          <w:rFonts w:hint="eastAsia"/>
        </w:rPr>
        <w:t>数据中心宜采用冷热通道隔离等其他气流组织优化措施，从而避免冷热风混风而带来的降低能效的风险。</w:t>
      </w:r>
    </w:p>
    <w:p>
      <w:pPr>
        <w:pStyle w:val="106"/>
        <w:spacing w:before="156" w:after="156"/>
      </w:pPr>
      <w:bookmarkStart w:id="64" w:name="_Toc87961424"/>
      <w:r>
        <w:rPr>
          <w:rFonts w:hint="eastAsia"/>
        </w:rPr>
        <w:t>近端制冷</w:t>
      </w:r>
      <w:bookmarkEnd w:id="64"/>
    </w:p>
    <w:p>
      <w:pPr>
        <w:pStyle w:val="231"/>
      </w:pPr>
      <w:r>
        <w:rPr>
          <w:rFonts w:hint="eastAsia"/>
        </w:rPr>
        <w:t>数据中心空调系统宜采用列间空调、背板空调、顶置空调等最接近主设备系统的制冷方式，通过缩短送风距离等进一步提升制冷系统能效。</w:t>
      </w:r>
    </w:p>
    <w:p>
      <w:pPr>
        <w:pStyle w:val="106"/>
        <w:spacing w:before="156" w:after="156"/>
      </w:pPr>
      <w:bookmarkStart w:id="65" w:name="_Toc87961425"/>
      <w:r>
        <w:rPr>
          <w:rFonts w:hint="eastAsia"/>
        </w:rPr>
        <w:t>液冷要求</w:t>
      </w:r>
      <w:bookmarkEnd w:id="65"/>
    </w:p>
    <w:p>
      <w:pPr>
        <w:pStyle w:val="110"/>
        <w:numPr>
          <w:ilvl w:val="1"/>
          <w:numId w:val="40"/>
        </w:numPr>
      </w:pPr>
      <w:r>
        <w:rPr>
          <w:rFonts w:hint="eastAsia"/>
        </w:rPr>
        <w:t>对于新建超算等高功率密度机柜的数据中心，宜采用液体冷却技术方案；</w:t>
      </w:r>
    </w:p>
    <w:p>
      <w:pPr>
        <w:pStyle w:val="110"/>
        <w:numPr>
          <w:ilvl w:val="1"/>
          <w:numId w:val="40"/>
        </w:numPr>
      </w:pPr>
      <w:r>
        <w:rPr>
          <w:rFonts w:hint="eastAsia"/>
        </w:rPr>
        <w:t>对于改造类数据中心，当传统制冷方式节能效果有限时，宜采用液冷技术；</w:t>
      </w:r>
    </w:p>
    <w:p>
      <w:pPr>
        <w:pStyle w:val="110"/>
        <w:numPr>
          <w:ilvl w:val="1"/>
          <w:numId w:val="40"/>
        </w:numPr>
      </w:pPr>
      <w:r>
        <w:rPr>
          <w:rFonts w:hint="eastAsia"/>
        </w:rPr>
        <w:t>液体冷却技术方案应满足全年均可进行自然冷却条件。</w:t>
      </w:r>
    </w:p>
    <w:p>
      <w:pPr>
        <w:pStyle w:val="106"/>
        <w:spacing w:before="156" w:after="156"/>
      </w:pPr>
      <w:bookmarkStart w:id="66" w:name="_Toc87961426"/>
      <w:r>
        <w:rPr>
          <w:rFonts w:hint="eastAsia"/>
        </w:rPr>
        <w:t>高效制冷设备</w:t>
      </w:r>
      <w:bookmarkEnd w:id="66"/>
    </w:p>
    <w:p>
      <w:pPr>
        <w:pStyle w:val="231"/>
      </w:pPr>
      <w:r>
        <w:rPr>
          <w:rFonts w:hint="eastAsia"/>
        </w:rPr>
        <w:t>空调和制冷设备的选用应符合运行可靠、经济适用、节能和环保的要求，宜采用高效的制冷设备，如变频空调、E</w:t>
      </w:r>
      <w:r>
        <w:t>C</w:t>
      </w:r>
      <w:r>
        <w:rPr>
          <w:rFonts w:hint="eastAsia"/>
        </w:rPr>
        <w:t>风机等。</w:t>
      </w:r>
    </w:p>
    <w:p>
      <w:pPr>
        <w:pStyle w:val="106"/>
        <w:spacing w:before="156" w:after="156"/>
      </w:pPr>
      <w:bookmarkStart w:id="67" w:name="_Toc87961427"/>
      <w:r>
        <w:rPr>
          <w:rFonts w:hint="eastAsia"/>
        </w:rPr>
        <w:t>大型蓄冷方案</w:t>
      </w:r>
      <w:bookmarkEnd w:id="67"/>
    </w:p>
    <w:p>
      <w:pPr>
        <w:pStyle w:val="110"/>
        <w:numPr>
          <w:ilvl w:val="1"/>
          <w:numId w:val="41"/>
        </w:numPr>
      </w:pPr>
      <w:r>
        <w:rPr>
          <w:rFonts w:hint="eastAsia"/>
        </w:rPr>
        <w:t>鼓励数据中心水冷系统采用大型蓄冷设施，蓄冷削峰量不低于2小时设计负荷；</w:t>
      </w:r>
    </w:p>
    <w:p>
      <w:pPr>
        <w:pStyle w:val="110"/>
        <w:numPr>
          <w:ilvl w:val="1"/>
          <w:numId w:val="41"/>
        </w:numPr>
      </w:pPr>
      <w:r>
        <w:rPr>
          <w:rFonts w:hint="eastAsia"/>
        </w:rPr>
        <w:t>采用削峰填谷节省运行费用、平衡优化整个电网运行；</w:t>
      </w:r>
    </w:p>
    <w:p>
      <w:pPr>
        <w:pStyle w:val="110"/>
        <w:numPr>
          <w:ilvl w:val="1"/>
          <w:numId w:val="41"/>
        </w:numPr>
      </w:pPr>
      <w:r>
        <w:rPr>
          <w:rFonts w:hint="eastAsia"/>
        </w:rPr>
        <w:t>提高安全性的同时提高供水温度、延长自然冷却时长、提高制冷系统综合能源效率。</w:t>
      </w:r>
    </w:p>
    <w:p>
      <w:pPr>
        <w:pStyle w:val="106"/>
        <w:spacing w:before="156" w:after="156"/>
      </w:pPr>
      <w:bookmarkStart w:id="68" w:name="_Toc87961428"/>
      <w:r>
        <w:rPr>
          <w:rFonts w:hint="eastAsia"/>
        </w:rPr>
        <w:t>高效制冷整体方案</w:t>
      </w:r>
      <w:bookmarkEnd w:id="68"/>
    </w:p>
    <w:p>
      <w:pPr>
        <w:pStyle w:val="231"/>
        <w:ind w:firstLineChars="0"/>
      </w:pPr>
      <w:r>
        <w:rPr>
          <w:rFonts w:hint="eastAsia"/>
        </w:rPr>
        <w:t>数据中心宜采用空调自适应调节方式即依据负荷发热量以及数据中心整体环境温湿度等参数动态调节不同空调设备的工作状态的方法，提升空调系统整体能效。</w:t>
      </w:r>
    </w:p>
    <w:p>
      <w:pPr>
        <w:pStyle w:val="105"/>
        <w:spacing w:before="312" w:after="312"/>
      </w:pPr>
      <w:bookmarkStart w:id="69" w:name="_Toc87961429"/>
      <w:r>
        <w:rPr>
          <w:rFonts w:hint="eastAsia"/>
        </w:rPr>
        <w:t>供电系统节能设计要求</w:t>
      </w:r>
      <w:bookmarkEnd w:id="69"/>
    </w:p>
    <w:p>
      <w:pPr>
        <w:pStyle w:val="57"/>
        <w:ind w:firstLine="420"/>
      </w:pPr>
      <w:r>
        <w:rPr>
          <w:rFonts w:hint="eastAsia" w:cs="Tahoma" w:asciiTheme="minorEastAsia" w:hAnsiTheme="minorEastAsia"/>
        </w:rPr>
        <w:t>供电电源系统应根据数据中心的等级进行配置。</w:t>
      </w:r>
    </w:p>
    <w:p>
      <w:pPr>
        <w:pStyle w:val="106"/>
        <w:spacing w:before="156" w:after="156"/>
      </w:pPr>
      <w:bookmarkStart w:id="70" w:name="_Toc87961430"/>
      <w:r>
        <w:rPr>
          <w:rFonts w:hint="eastAsia"/>
        </w:rPr>
        <w:t>市电+保障电源供电方式</w:t>
      </w:r>
      <w:bookmarkEnd w:id="70"/>
    </w:p>
    <w:p>
      <w:pPr>
        <w:pStyle w:val="57"/>
        <w:ind w:firstLine="420"/>
        <w:rPr>
          <w:rFonts w:ascii="Times New Roman"/>
          <w:kern w:val="2"/>
          <w:szCs w:val="24"/>
        </w:rPr>
      </w:pPr>
      <w:r>
        <w:rPr>
          <w:rFonts w:hint="eastAsia" w:ascii="Times New Roman"/>
          <w:kern w:val="2"/>
          <w:szCs w:val="24"/>
        </w:rPr>
        <w:t>数据中心宜采用ICT设备侧的输入电源由1路市电加1路保障电源组合构成的市电直供供电方式。保障电源可为交流不间断电源系统，也可为直流不间断电源系统。</w:t>
      </w:r>
    </w:p>
    <w:p>
      <w:pPr>
        <w:pStyle w:val="106"/>
        <w:spacing w:before="156" w:after="156"/>
      </w:pPr>
      <w:bookmarkStart w:id="71" w:name="_Toc87961431"/>
      <w:r>
        <w:rPr>
          <w:rFonts w:hint="eastAsia"/>
        </w:rPr>
        <w:t>2</w:t>
      </w:r>
      <w:r>
        <w:t>40V/336V</w:t>
      </w:r>
      <w:r>
        <w:rPr>
          <w:rFonts w:hint="eastAsia"/>
        </w:rPr>
        <w:t>高效直流供电方式</w:t>
      </w:r>
      <w:bookmarkEnd w:id="71"/>
    </w:p>
    <w:p>
      <w:pPr>
        <w:pStyle w:val="231"/>
      </w:pPr>
      <w:r>
        <w:rPr>
          <w:rFonts w:hint="eastAsia"/>
        </w:rPr>
        <w:t>数据中心宜采用240V/336V高效直流供电系统，通过采用模块化技术，合理配置，适应数据中心负载变化，可依据负荷情况随时扩容。</w:t>
      </w:r>
    </w:p>
    <w:p>
      <w:pPr>
        <w:pStyle w:val="106"/>
        <w:spacing w:before="156" w:after="156"/>
      </w:pPr>
      <w:bookmarkStart w:id="72" w:name="_Toc87961432"/>
      <w:r>
        <w:rPr>
          <w:rFonts w:hint="eastAsia"/>
        </w:rPr>
        <w:t>可再生能源供电方式</w:t>
      </w:r>
      <w:bookmarkEnd w:id="72"/>
    </w:p>
    <w:p>
      <w:pPr>
        <w:pStyle w:val="57"/>
        <w:ind w:firstLine="420"/>
        <w:rPr>
          <w:rFonts w:ascii="Times New Roman"/>
          <w:kern w:val="2"/>
          <w:szCs w:val="24"/>
        </w:rPr>
      </w:pPr>
      <w:r>
        <w:rPr>
          <w:rFonts w:hint="eastAsia" w:ascii="Times New Roman"/>
          <w:kern w:val="2"/>
          <w:szCs w:val="24"/>
        </w:rPr>
        <w:t>数据中心宜利用可再生能源。</w:t>
      </w:r>
    </w:p>
    <w:p>
      <w:pPr>
        <w:pStyle w:val="57"/>
        <w:ind w:firstLine="420"/>
        <w:rPr>
          <w:rFonts w:ascii="Times New Roman"/>
          <w:kern w:val="2"/>
          <w:szCs w:val="24"/>
        </w:rPr>
      </w:pPr>
      <w:r>
        <w:rPr>
          <w:rFonts w:hint="eastAsia" w:ascii="Times New Roman"/>
          <w:kern w:val="2"/>
          <w:szCs w:val="24"/>
        </w:rPr>
        <w:t>可通过直接购买并应用可再生能源电力、在中国绿色电力证书认购平台上认购绿色电力证书、应用自建分布式可再生能源电站所发电力等方式应用可再生能源。</w:t>
      </w:r>
    </w:p>
    <w:p>
      <w:pPr>
        <w:pStyle w:val="106"/>
        <w:spacing w:before="156" w:after="156"/>
      </w:pPr>
      <w:bookmarkStart w:id="73" w:name="_Toc87961433"/>
      <w:r>
        <w:rPr>
          <w:rFonts w:hint="eastAsia"/>
        </w:rPr>
        <w:t>高效供电方案</w:t>
      </w:r>
      <w:bookmarkEnd w:id="73"/>
    </w:p>
    <w:p>
      <w:pPr>
        <w:pStyle w:val="231"/>
      </w:pPr>
      <w:r>
        <w:rPr>
          <w:rFonts w:hint="eastAsia"/>
        </w:rPr>
        <w:t>数据中心应采用信息化系统和数字化控制方式，动态调整供电系统和设备的工作模式，如模块休眠技术等，有效提升供电系统的整体能效。</w:t>
      </w:r>
    </w:p>
    <w:p>
      <w:pPr>
        <w:pStyle w:val="231"/>
      </w:pPr>
      <w:r>
        <w:rPr>
          <w:rFonts w:hint="eastAsia"/>
        </w:rPr>
        <w:t>供电系统应缩短供电距离，可采用贴近I</w:t>
      </w:r>
      <w:r>
        <w:t>CT</w:t>
      </w:r>
      <w:r>
        <w:rPr>
          <w:rFonts w:hint="eastAsia"/>
        </w:rPr>
        <w:t>设备的分布式供电方式，如网络机柜用分布式电源系统，减少供电时线路上的损耗。</w:t>
      </w:r>
    </w:p>
    <w:p>
      <w:pPr>
        <w:pStyle w:val="106"/>
        <w:spacing w:before="156" w:after="156"/>
      </w:pPr>
      <w:bookmarkStart w:id="74" w:name="_Toc87961434"/>
      <w:r>
        <w:rPr>
          <w:rFonts w:hint="eastAsia"/>
        </w:rPr>
        <w:t>储能方案</w:t>
      </w:r>
      <w:bookmarkEnd w:id="74"/>
    </w:p>
    <w:p>
      <w:pPr>
        <w:pStyle w:val="57"/>
        <w:ind w:firstLine="420"/>
      </w:pPr>
      <w:r>
        <w:rPr>
          <w:rFonts w:hint="eastAsia"/>
        </w:rPr>
        <w:t>数据中心可利用锂电池、储氢和飞轮储能、压缩空气储能等作为数据中心多元化储能和备用电源装置。</w:t>
      </w:r>
    </w:p>
    <w:p>
      <w:pPr>
        <w:pStyle w:val="57"/>
        <w:ind w:firstLine="420"/>
      </w:pPr>
      <w:r>
        <w:rPr>
          <w:rFonts w:hint="eastAsia"/>
        </w:rPr>
        <w:t>数据中心宜加强动力电池梯次利用产品推广应用。</w:t>
      </w:r>
    </w:p>
    <w:p>
      <w:pPr>
        <w:pStyle w:val="105"/>
        <w:spacing w:before="312" w:after="312"/>
      </w:pPr>
      <w:bookmarkStart w:id="75" w:name="_Toc87961435"/>
      <w:r>
        <w:rPr>
          <w:rFonts w:hint="eastAsia"/>
        </w:rPr>
        <w:t>环境监控及智能化管理系统节能要求</w:t>
      </w:r>
      <w:bookmarkEnd w:id="75"/>
    </w:p>
    <w:p>
      <w:pPr>
        <w:pStyle w:val="106"/>
        <w:spacing w:before="156" w:after="156"/>
      </w:pPr>
      <w:bookmarkStart w:id="76" w:name="_Toc87961436"/>
      <w:r>
        <w:rPr>
          <w:rFonts w:hint="eastAsia"/>
        </w:rPr>
        <w:t>智能化系统要求</w:t>
      </w:r>
      <w:bookmarkEnd w:id="76"/>
    </w:p>
    <w:p>
      <w:pPr>
        <w:pStyle w:val="110"/>
        <w:numPr>
          <w:ilvl w:val="1"/>
          <w:numId w:val="42"/>
        </w:numPr>
      </w:pPr>
      <w:r>
        <w:rPr>
          <w:rFonts w:hint="eastAsia"/>
        </w:rPr>
        <w:t>数据中心智能化系统宜采用统一系统平台，利用集散或分布式网络结构及现场总线控制技术，支持各种传输网络和多级管理；</w:t>
      </w:r>
    </w:p>
    <w:p>
      <w:pPr>
        <w:pStyle w:val="110"/>
        <w:numPr>
          <w:ilvl w:val="1"/>
          <w:numId w:val="42"/>
        </w:numPr>
      </w:pPr>
      <w:r>
        <w:rPr>
          <w:rFonts w:hint="eastAsia"/>
        </w:rPr>
        <w:t>系统平台应具有集成性、开放性、可扩展性及可对外互联等功能；</w:t>
      </w:r>
    </w:p>
    <w:p>
      <w:pPr>
        <w:pStyle w:val="110"/>
        <w:numPr>
          <w:ilvl w:val="1"/>
          <w:numId w:val="42"/>
        </w:numPr>
      </w:pPr>
      <w:r>
        <w:rPr>
          <w:rFonts w:hint="eastAsia"/>
        </w:rPr>
        <w:t>系统采用的操作系统、数据库管理系统、网络通信协议等应采用国际上通用的系统；</w:t>
      </w:r>
    </w:p>
    <w:p>
      <w:pPr>
        <w:pStyle w:val="110"/>
        <w:numPr>
          <w:ilvl w:val="1"/>
          <w:numId w:val="42"/>
        </w:numPr>
      </w:pPr>
      <w:r>
        <w:rPr>
          <w:rFonts w:hint="eastAsia"/>
        </w:rPr>
        <w:t>智能化系统应包括B</w:t>
      </w:r>
      <w:r>
        <w:t>A</w:t>
      </w:r>
      <w:r>
        <w:rPr>
          <w:rFonts w:hint="eastAsia"/>
        </w:rPr>
        <w:t>系统、动环系统、电力监控系统等；</w:t>
      </w:r>
    </w:p>
    <w:p>
      <w:pPr>
        <w:pStyle w:val="110"/>
        <w:numPr>
          <w:ilvl w:val="1"/>
          <w:numId w:val="42"/>
        </w:numPr>
      </w:pPr>
      <w:r>
        <w:rPr>
          <w:rFonts w:hint="eastAsia"/>
        </w:rPr>
        <w:t>智能化系统应具备显示、记录、控制、报警、提示及趋势和能耗分析功能，并基于智能化策略进行动态控制各类基础设施系统和设备，使</w:t>
      </w:r>
      <w:r>
        <w:rPr>
          <w:rFonts w:cstheme="minorHAnsi"/>
          <w:bCs/>
        </w:rPr>
        <w:t>整个数据中心的冷、电、水、油等能源指标在最优工况下运行</w:t>
      </w:r>
      <w:r>
        <w:rPr>
          <w:rFonts w:hint="eastAsia"/>
        </w:rPr>
        <w:t>。</w:t>
      </w:r>
    </w:p>
    <w:p>
      <w:pPr>
        <w:pStyle w:val="106"/>
        <w:spacing w:before="156" w:after="156"/>
      </w:pPr>
      <w:bookmarkStart w:id="77" w:name="_Toc87961437"/>
      <w:r>
        <w:rPr>
          <w:rFonts w:hint="eastAsia"/>
        </w:rPr>
        <w:t>环境和设备监控系统要求</w:t>
      </w:r>
      <w:bookmarkEnd w:id="77"/>
    </w:p>
    <w:p>
      <w:pPr>
        <w:pStyle w:val="110"/>
        <w:numPr>
          <w:ilvl w:val="1"/>
          <w:numId w:val="43"/>
        </w:numPr>
      </w:pPr>
      <w:r>
        <w:rPr>
          <w:rFonts w:hint="eastAsia"/>
        </w:rPr>
        <w:t>数据中心宜对能源进行单独管理，实时监测数据中心冷、电、水、油等能源指标；</w:t>
      </w:r>
    </w:p>
    <w:p>
      <w:pPr>
        <w:pStyle w:val="110"/>
        <w:numPr>
          <w:ilvl w:val="1"/>
          <w:numId w:val="43"/>
        </w:numPr>
      </w:pPr>
      <w:r>
        <w:rPr>
          <w:rFonts w:hint="eastAsia" w:cs="Tahoma" w:asciiTheme="minorEastAsia" w:hAnsiTheme="minorEastAsia"/>
        </w:rPr>
        <w:t>数据中心应对信息设备、冷热源、输配系统和照明等各部分能耗应进行独立分项计量；</w:t>
      </w:r>
    </w:p>
    <w:p>
      <w:pPr>
        <w:pStyle w:val="110"/>
        <w:numPr>
          <w:ilvl w:val="1"/>
          <w:numId w:val="43"/>
        </w:numPr>
      </w:pPr>
      <w:r>
        <w:rPr>
          <w:rFonts w:hint="eastAsia"/>
        </w:rPr>
        <w:t>数据中心宜运用数字化技术手段进行实时诊断分析，提出优化能源管理建议；</w:t>
      </w:r>
    </w:p>
    <w:p>
      <w:pPr>
        <w:pStyle w:val="110"/>
        <w:numPr>
          <w:ilvl w:val="1"/>
          <w:numId w:val="43"/>
        </w:numPr>
      </w:pPr>
      <w:r>
        <w:rPr>
          <w:rFonts w:hint="eastAsia"/>
        </w:rPr>
        <w:t>数据中心应能够监测和控制各区域的温度、露点温度或相对湿度等环境参数，当环境参数超出设定值时，应报警并记录；</w:t>
      </w:r>
    </w:p>
    <w:p>
      <w:pPr>
        <w:pStyle w:val="110"/>
        <w:numPr>
          <w:ilvl w:val="1"/>
          <w:numId w:val="43"/>
        </w:numPr>
      </w:pPr>
      <w:r>
        <w:rPr>
          <w:rFonts w:hint="eastAsia"/>
        </w:rPr>
        <w:t>核心设备区及高密设备区宜设置机柜微环境监控系统，并应依据环境温度等参数动态调节空调系统状态。</w:t>
      </w:r>
    </w:p>
    <w:p>
      <w:pPr>
        <w:pStyle w:val="105"/>
        <w:spacing w:before="312" w:after="312"/>
      </w:pPr>
      <w:bookmarkStart w:id="78" w:name="_Toc87961438"/>
      <w:r>
        <w:rPr>
          <w:rFonts w:hint="eastAsia"/>
        </w:rPr>
        <w:t>I</w:t>
      </w:r>
      <w:r>
        <w:t>T</w:t>
      </w:r>
      <w:r>
        <w:rPr>
          <w:rFonts w:hint="eastAsia"/>
        </w:rPr>
        <w:t>系统节能设计要求</w:t>
      </w:r>
      <w:bookmarkEnd w:id="78"/>
    </w:p>
    <w:p>
      <w:pPr>
        <w:pStyle w:val="231"/>
      </w:pPr>
      <w:r>
        <w:rPr>
          <w:rFonts w:hint="eastAsia"/>
        </w:rPr>
        <w:t>在不影响业务应用前提下，应采用节能型信息设备和IT系统架构方面进行系统优化和监管，以达到IT系统节能减排效果。</w:t>
      </w:r>
    </w:p>
    <w:p>
      <w:pPr>
        <w:pStyle w:val="106"/>
        <w:spacing w:before="156" w:after="156"/>
      </w:pPr>
      <w:bookmarkStart w:id="79" w:name="_Toc87961439"/>
      <w:r>
        <w:rPr>
          <w:rFonts w:hint="eastAsia"/>
        </w:rPr>
        <w:t>I</w:t>
      </w:r>
      <w:r>
        <w:t>T</w:t>
      </w:r>
      <w:r>
        <w:rPr>
          <w:rFonts w:hint="eastAsia"/>
        </w:rPr>
        <w:t>设备选择要求</w:t>
      </w:r>
      <w:bookmarkEnd w:id="79"/>
    </w:p>
    <w:p>
      <w:pPr>
        <w:pStyle w:val="231"/>
      </w:pPr>
      <w:r>
        <w:rPr>
          <w:rFonts w:hint="eastAsia"/>
        </w:rPr>
        <w:t>I</w:t>
      </w:r>
      <w:r>
        <w:t>T</w:t>
      </w:r>
      <w:r>
        <w:rPr>
          <w:rFonts w:hint="eastAsia"/>
        </w:rPr>
        <w:t>设备包括但不限于：</w:t>
      </w:r>
    </w:p>
    <w:p>
      <w:pPr>
        <w:pStyle w:val="110"/>
        <w:numPr>
          <w:ilvl w:val="1"/>
          <w:numId w:val="44"/>
        </w:numPr>
      </w:pPr>
      <w:r>
        <w:rPr>
          <w:rFonts w:hint="eastAsia"/>
        </w:rPr>
        <w:t xml:space="preserve">服务器和计算机系统：服务器、工作站、小型主机、信息安全设备等； </w:t>
      </w:r>
    </w:p>
    <w:p>
      <w:pPr>
        <w:pStyle w:val="110"/>
      </w:pPr>
      <w:r>
        <w:rPr>
          <w:rFonts w:hint="eastAsia"/>
        </w:rPr>
        <w:t xml:space="preserve">网络和通信系统：交换机、路由器、防火墙、网络分析仪、负载均衡设备等； </w:t>
      </w:r>
    </w:p>
    <w:p>
      <w:pPr>
        <w:pStyle w:val="110"/>
      </w:pPr>
      <w:r>
        <w:rPr>
          <w:rFonts w:hint="eastAsia"/>
        </w:rPr>
        <w:t xml:space="preserve">数据存储系统：固态盘存储设备、磁盘存储设备、光盘库存储设备、磁带存储设备等； </w:t>
      </w:r>
    </w:p>
    <w:p>
      <w:pPr>
        <w:pStyle w:val="110"/>
      </w:pPr>
      <w:r>
        <w:rPr>
          <w:rFonts w:hint="eastAsia"/>
        </w:rPr>
        <w:t>辅助电子设备：网络管理系统、可视化显示和控制终端等安装在主机房内的电子设备。</w:t>
      </w:r>
    </w:p>
    <w:p>
      <w:pPr>
        <w:pStyle w:val="110"/>
      </w:pPr>
      <w:r>
        <w:rPr>
          <w:rFonts w:hint="eastAsia" w:ascii="Times New Roman"/>
        </w:rPr>
        <w:t>应采用节能技术的I</w:t>
      </w:r>
      <w:r>
        <w:rPr>
          <w:rFonts w:ascii="Times New Roman"/>
        </w:rPr>
        <w:t>T</w:t>
      </w:r>
      <w:r>
        <w:rPr>
          <w:rFonts w:hint="eastAsia" w:ascii="Times New Roman"/>
        </w:rPr>
        <w:t>设备，</w:t>
      </w:r>
      <w:r>
        <w:rPr>
          <w:rFonts w:hint="eastAsia"/>
        </w:rPr>
        <w:t>宜采用大容量存储介质提高数据存储空间密度和电能利用率。</w:t>
      </w:r>
    </w:p>
    <w:p>
      <w:pPr>
        <w:pStyle w:val="106"/>
        <w:spacing w:before="156" w:after="156"/>
      </w:pPr>
      <w:bookmarkStart w:id="80" w:name="_Toc87961440"/>
      <w:r>
        <w:rPr>
          <w:rFonts w:hint="eastAsia"/>
        </w:rPr>
        <w:t>I</w:t>
      </w:r>
      <w:r>
        <w:t>T</w:t>
      </w:r>
      <w:r>
        <w:rPr>
          <w:rFonts w:hint="eastAsia"/>
        </w:rPr>
        <w:t>系统节能总体要求</w:t>
      </w:r>
      <w:bookmarkEnd w:id="80"/>
    </w:p>
    <w:p>
      <w:pPr>
        <w:pStyle w:val="110"/>
        <w:numPr>
          <w:ilvl w:val="1"/>
          <w:numId w:val="45"/>
        </w:numPr>
      </w:pPr>
      <w:r>
        <w:rPr>
          <w:rFonts w:hint="eastAsia"/>
        </w:rPr>
        <w:t>应具有电源管理及休眠技术应用。</w:t>
      </w:r>
    </w:p>
    <w:p>
      <w:pPr>
        <w:pStyle w:val="110"/>
      </w:pPr>
      <w:r>
        <w:rPr>
          <w:rFonts w:hint="eastAsia"/>
        </w:rPr>
        <w:t>宜采用高效定制化IT设备，包括但不限于多节点服务器、整机柜服务器和液冷服务器等。</w:t>
      </w:r>
    </w:p>
    <w:p>
      <w:pPr>
        <w:pStyle w:val="110"/>
      </w:pPr>
      <w:r>
        <w:rPr>
          <w:rFonts w:hint="eastAsia"/>
        </w:rPr>
        <w:t>宜采用高能效比、耐高温、耐腐蚀、空气洁净度要求低的设备。</w:t>
      </w:r>
    </w:p>
    <w:p>
      <w:pPr>
        <w:pStyle w:val="110"/>
      </w:pPr>
      <w:r>
        <w:rPr>
          <w:rFonts w:hint="eastAsia"/>
        </w:rPr>
        <w:t>宜通过IT设备状态采集和运维等手段，实现数据中心计算、存储资源的高效调度，提高数据中心算力和算效等级。</w:t>
      </w:r>
    </w:p>
    <w:p>
      <w:pPr>
        <w:pStyle w:val="106"/>
        <w:spacing w:before="156" w:after="156"/>
      </w:pPr>
      <w:bookmarkStart w:id="81" w:name="_Toc87961441"/>
      <w:r>
        <w:rPr>
          <w:rFonts w:hint="eastAsia"/>
        </w:rPr>
        <w:t>数据中心存储能耗要求</w:t>
      </w:r>
      <w:bookmarkEnd w:id="81"/>
    </w:p>
    <w:p>
      <w:pPr>
        <w:pStyle w:val="231"/>
      </w:pPr>
      <w:r>
        <w:rPr>
          <w:rFonts w:hint="eastAsia"/>
        </w:rPr>
        <w:t>数据中心以计算业务为主，存储功能的信息设备能耗比例不高于数据中心机柜总能耗的2</w:t>
      </w:r>
      <w:r>
        <w:t>0%</w:t>
      </w:r>
      <w:r>
        <w:rPr>
          <w:rFonts w:hint="eastAsia"/>
        </w:rPr>
        <w:t>。</w:t>
      </w:r>
    </w:p>
    <w:p>
      <w:pPr>
        <w:pStyle w:val="106"/>
        <w:spacing w:before="156" w:after="156"/>
      </w:pPr>
      <w:bookmarkStart w:id="82" w:name="_Toc87961442"/>
      <w:r>
        <w:rPr>
          <w:rFonts w:hint="eastAsia"/>
        </w:rPr>
        <w:t>I</w:t>
      </w:r>
      <w:r>
        <w:t>T</w:t>
      </w:r>
      <w:r>
        <w:rPr>
          <w:rFonts w:hint="eastAsia"/>
        </w:rPr>
        <w:t>系统算力要求</w:t>
      </w:r>
      <w:bookmarkEnd w:id="82"/>
    </w:p>
    <w:p>
      <w:pPr>
        <w:pStyle w:val="110"/>
        <w:numPr>
          <w:ilvl w:val="1"/>
          <w:numId w:val="46"/>
        </w:numPr>
      </w:pPr>
      <w:r>
        <w:rPr>
          <w:rFonts w:hint="eastAsia"/>
          <w:color w:val="070707"/>
          <w:shd w:val="clear" w:color="auto" w:fill="FFFFFF"/>
        </w:rPr>
        <w:t>数据中心应满足政务服务和民生需求，完善公共算力资源供给，优化算力服务体系，提升算力服务调度能力；</w:t>
      </w:r>
    </w:p>
    <w:p>
      <w:pPr>
        <w:pStyle w:val="110"/>
        <w:numPr>
          <w:ilvl w:val="1"/>
          <w:numId w:val="46"/>
        </w:numPr>
      </w:pPr>
      <w:r>
        <w:rPr>
          <w:rFonts w:hint="eastAsia"/>
        </w:rPr>
        <w:t>对于需后台加工存储、对网络时延要求不高的业务，宜向能源丰富、气候适宜地区的数据中心集群调度；</w:t>
      </w:r>
    </w:p>
    <w:p>
      <w:pPr>
        <w:pStyle w:val="110"/>
        <w:numPr>
          <w:ilvl w:val="1"/>
          <w:numId w:val="46"/>
        </w:numPr>
      </w:pPr>
      <w:r>
        <w:rPr>
          <w:rFonts w:hint="eastAsia"/>
        </w:rPr>
        <w:t>对于面向高频次业务调用、对网络时延要求极高的业务，宜向城市级高性能、边缘数据中心调度；</w:t>
      </w:r>
    </w:p>
    <w:p>
      <w:pPr>
        <w:pStyle w:val="110"/>
        <w:numPr>
          <w:ilvl w:val="1"/>
          <w:numId w:val="46"/>
        </w:numPr>
      </w:pPr>
      <w:r>
        <w:rPr>
          <w:rFonts w:hint="eastAsia"/>
        </w:rPr>
        <w:t>对于其它算力需求，宜向本区域内数据中心集群调度。</w:t>
      </w:r>
    </w:p>
    <w:bookmarkEnd w:id="24"/>
    <w:p>
      <w:pPr>
        <w:pStyle w:val="57"/>
        <w:ind w:firstLine="0" w:firstLineChars="0"/>
        <w:jc w:val="center"/>
      </w:pPr>
      <w:bookmarkStart w:id="83"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3"/>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11/T 1282—XXXX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11/T 1282—XXXX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BXh7v+XlQEN/FUbkmXTPVE37HOnZ6dJh7UnSrjfygBzCKI8ejfTMwdfCbmE/HDtCVW4I3A5ACNaYzntUzHkCjQ==" w:salt="OtYm9KZBuf1XLcVHF3LiE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xNDAwNDQ3MjczMDBQ0lEKTi0uzszPAykwrAUAmDDHtiwAAAA="/>
    <w:docVar w:name="commondata" w:val="eyJoZGlkIjoiYjY3NjhkZDY0OTc1MmE3ZTQyODQzMzUyNGZjNTI1NjQifQ=="/>
  </w:docVars>
  <w:rsids>
    <w:rsidRoot w:val="002D790C"/>
    <w:rsid w:val="0000040A"/>
    <w:rsid w:val="00000A94"/>
    <w:rsid w:val="00001972"/>
    <w:rsid w:val="00001D9A"/>
    <w:rsid w:val="00007B3A"/>
    <w:rsid w:val="000107E0"/>
    <w:rsid w:val="00011FDE"/>
    <w:rsid w:val="00012FFD"/>
    <w:rsid w:val="00014162"/>
    <w:rsid w:val="00014340"/>
    <w:rsid w:val="00016A9C"/>
    <w:rsid w:val="00017994"/>
    <w:rsid w:val="00022184"/>
    <w:rsid w:val="00022762"/>
    <w:rsid w:val="000238E0"/>
    <w:rsid w:val="000249DB"/>
    <w:rsid w:val="0002595E"/>
    <w:rsid w:val="000303C3"/>
    <w:rsid w:val="000331D3"/>
    <w:rsid w:val="000346A5"/>
    <w:rsid w:val="000359C3"/>
    <w:rsid w:val="00035A7D"/>
    <w:rsid w:val="000365ED"/>
    <w:rsid w:val="0004249A"/>
    <w:rsid w:val="00043282"/>
    <w:rsid w:val="00043F44"/>
    <w:rsid w:val="00044286"/>
    <w:rsid w:val="00044F4B"/>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769"/>
    <w:rsid w:val="00067F1E"/>
    <w:rsid w:val="00071CC0"/>
    <w:rsid w:val="00073A9A"/>
    <w:rsid w:val="00073C8C"/>
    <w:rsid w:val="000759C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83C"/>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D7B68"/>
    <w:rsid w:val="000E4C9E"/>
    <w:rsid w:val="000E6FD7"/>
    <w:rsid w:val="000F06E1"/>
    <w:rsid w:val="000F0E3C"/>
    <w:rsid w:val="000F19D5"/>
    <w:rsid w:val="000F4AEA"/>
    <w:rsid w:val="000F633F"/>
    <w:rsid w:val="000F67E9"/>
    <w:rsid w:val="00104926"/>
    <w:rsid w:val="001120F3"/>
    <w:rsid w:val="00113B1E"/>
    <w:rsid w:val="00114977"/>
    <w:rsid w:val="0011711C"/>
    <w:rsid w:val="0012059C"/>
    <w:rsid w:val="00124E4F"/>
    <w:rsid w:val="001260B7"/>
    <w:rsid w:val="001265CB"/>
    <w:rsid w:val="00126D36"/>
    <w:rsid w:val="00127170"/>
    <w:rsid w:val="00127262"/>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2CA4"/>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CBD"/>
    <w:rsid w:val="001913C4"/>
    <w:rsid w:val="0019348F"/>
    <w:rsid w:val="00193A07"/>
    <w:rsid w:val="00194C95"/>
    <w:rsid w:val="00195C34"/>
    <w:rsid w:val="00196EF5"/>
    <w:rsid w:val="001A1A53"/>
    <w:rsid w:val="001A234A"/>
    <w:rsid w:val="001A4CF3"/>
    <w:rsid w:val="001B06E8"/>
    <w:rsid w:val="001B5C85"/>
    <w:rsid w:val="001B71D0"/>
    <w:rsid w:val="001B71EE"/>
    <w:rsid w:val="001C04A8"/>
    <w:rsid w:val="001C0D18"/>
    <w:rsid w:val="001C2C03"/>
    <w:rsid w:val="001C42F7"/>
    <w:rsid w:val="001C49E5"/>
    <w:rsid w:val="001C680C"/>
    <w:rsid w:val="001C7FEA"/>
    <w:rsid w:val="001D0499"/>
    <w:rsid w:val="001D0BBE"/>
    <w:rsid w:val="001D0ED4"/>
    <w:rsid w:val="001D212F"/>
    <w:rsid w:val="001D29D7"/>
    <w:rsid w:val="001D2DE7"/>
    <w:rsid w:val="001D411C"/>
    <w:rsid w:val="001D6E81"/>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8CB"/>
    <w:rsid w:val="00233D64"/>
    <w:rsid w:val="0023482A"/>
    <w:rsid w:val="002359CB"/>
    <w:rsid w:val="00237CE5"/>
    <w:rsid w:val="00243540"/>
    <w:rsid w:val="0024497B"/>
    <w:rsid w:val="0024515B"/>
    <w:rsid w:val="00246021"/>
    <w:rsid w:val="0024666E"/>
    <w:rsid w:val="00247F52"/>
    <w:rsid w:val="00250B25"/>
    <w:rsid w:val="00250BBE"/>
    <w:rsid w:val="002515C2"/>
    <w:rsid w:val="0025194F"/>
    <w:rsid w:val="00253CF1"/>
    <w:rsid w:val="0026148A"/>
    <w:rsid w:val="00262696"/>
    <w:rsid w:val="00263D25"/>
    <w:rsid w:val="002643C3"/>
    <w:rsid w:val="00264A0C"/>
    <w:rsid w:val="00266EEB"/>
    <w:rsid w:val="00267EF4"/>
    <w:rsid w:val="00270CB8"/>
    <w:rsid w:val="00272B08"/>
    <w:rsid w:val="00277D02"/>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336"/>
    <w:rsid w:val="002A5977"/>
    <w:rsid w:val="002A5A13"/>
    <w:rsid w:val="002A5B39"/>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0C"/>
    <w:rsid w:val="002D79AC"/>
    <w:rsid w:val="002E039D"/>
    <w:rsid w:val="002E3844"/>
    <w:rsid w:val="002E4D5A"/>
    <w:rsid w:val="002E6326"/>
    <w:rsid w:val="002F30E0"/>
    <w:rsid w:val="002F35E4"/>
    <w:rsid w:val="002F3730"/>
    <w:rsid w:val="002F38E1"/>
    <w:rsid w:val="002F7AF6"/>
    <w:rsid w:val="00300E63"/>
    <w:rsid w:val="00302F5F"/>
    <w:rsid w:val="00302FC4"/>
    <w:rsid w:val="0030441D"/>
    <w:rsid w:val="00306063"/>
    <w:rsid w:val="00313B85"/>
    <w:rsid w:val="00317988"/>
    <w:rsid w:val="003221B4"/>
    <w:rsid w:val="0032258D"/>
    <w:rsid w:val="00322E62"/>
    <w:rsid w:val="00324D13"/>
    <w:rsid w:val="00324D2A"/>
    <w:rsid w:val="00324EDD"/>
    <w:rsid w:val="003331E4"/>
    <w:rsid w:val="003363F0"/>
    <w:rsid w:val="00336C64"/>
    <w:rsid w:val="00337162"/>
    <w:rsid w:val="0034194F"/>
    <w:rsid w:val="00344605"/>
    <w:rsid w:val="00344ACB"/>
    <w:rsid w:val="003474AA"/>
    <w:rsid w:val="00350D1D"/>
    <w:rsid w:val="00352C83"/>
    <w:rsid w:val="0035748E"/>
    <w:rsid w:val="003615D2"/>
    <w:rsid w:val="0036429C"/>
    <w:rsid w:val="00364A53"/>
    <w:rsid w:val="00364AFF"/>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6514"/>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3D7"/>
    <w:rsid w:val="003B5BF0"/>
    <w:rsid w:val="003B60BF"/>
    <w:rsid w:val="003B6BE3"/>
    <w:rsid w:val="003C010C"/>
    <w:rsid w:val="003C0A6C"/>
    <w:rsid w:val="003C14F8"/>
    <w:rsid w:val="003C5A43"/>
    <w:rsid w:val="003D0519"/>
    <w:rsid w:val="003D0FF6"/>
    <w:rsid w:val="003D262C"/>
    <w:rsid w:val="003D468A"/>
    <w:rsid w:val="003D5EC0"/>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FF7"/>
    <w:rsid w:val="00404869"/>
    <w:rsid w:val="00405884"/>
    <w:rsid w:val="00406209"/>
    <w:rsid w:val="00407D39"/>
    <w:rsid w:val="0041477A"/>
    <w:rsid w:val="004167A3"/>
    <w:rsid w:val="004276A5"/>
    <w:rsid w:val="00432DAA"/>
    <w:rsid w:val="00434305"/>
    <w:rsid w:val="00435DF7"/>
    <w:rsid w:val="0044083F"/>
    <w:rsid w:val="00441AE7"/>
    <w:rsid w:val="00445574"/>
    <w:rsid w:val="004467FB"/>
    <w:rsid w:val="00452D6B"/>
    <w:rsid w:val="00454484"/>
    <w:rsid w:val="0045517B"/>
    <w:rsid w:val="00457684"/>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9BF"/>
    <w:rsid w:val="004A12DF"/>
    <w:rsid w:val="004A17E6"/>
    <w:rsid w:val="004A1BA8"/>
    <w:rsid w:val="004A4B57"/>
    <w:rsid w:val="004A63FA"/>
    <w:rsid w:val="004A6C27"/>
    <w:rsid w:val="004B0272"/>
    <w:rsid w:val="004B1CA5"/>
    <w:rsid w:val="004B2701"/>
    <w:rsid w:val="004B2E1B"/>
    <w:rsid w:val="004B3AA8"/>
    <w:rsid w:val="004B3E93"/>
    <w:rsid w:val="004C1FBC"/>
    <w:rsid w:val="004C2929"/>
    <w:rsid w:val="004C3F1D"/>
    <w:rsid w:val="004C458D"/>
    <w:rsid w:val="004C7556"/>
    <w:rsid w:val="004C7E8B"/>
    <w:rsid w:val="004C7E9D"/>
    <w:rsid w:val="004C7F67"/>
    <w:rsid w:val="004D076D"/>
    <w:rsid w:val="004D0EF1"/>
    <w:rsid w:val="004D2253"/>
    <w:rsid w:val="004D4406"/>
    <w:rsid w:val="004D7C42"/>
    <w:rsid w:val="004E0025"/>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D1A"/>
    <w:rsid w:val="005479DA"/>
    <w:rsid w:val="00547BCC"/>
    <w:rsid w:val="0055013B"/>
    <w:rsid w:val="00551F6F"/>
    <w:rsid w:val="00555044"/>
    <w:rsid w:val="00556F0B"/>
    <w:rsid w:val="00561475"/>
    <w:rsid w:val="0056487B"/>
    <w:rsid w:val="00564FB9"/>
    <w:rsid w:val="00573D9E"/>
    <w:rsid w:val="00576EF1"/>
    <w:rsid w:val="005801E3"/>
    <w:rsid w:val="005809DB"/>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957"/>
    <w:rsid w:val="005B6CF6"/>
    <w:rsid w:val="005B7422"/>
    <w:rsid w:val="005C29B8"/>
    <w:rsid w:val="005C5F21"/>
    <w:rsid w:val="005C7156"/>
    <w:rsid w:val="005D0C75"/>
    <w:rsid w:val="005D4171"/>
    <w:rsid w:val="005D4229"/>
    <w:rsid w:val="005D6A95"/>
    <w:rsid w:val="005D6B2C"/>
    <w:rsid w:val="005D6D9C"/>
    <w:rsid w:val="005E2335"/>
    <w:rsid w:val="005E2D29"/>
    <w:rsid w:val="005E34CA"/>
    <w:rsid w:val="005E3C18"/>
    <w:rsid w:val="005E637D"/>
    <w:rsid w:val="005E6812"/>
    <w:rsid w:val="005E7881"/>
    <w:rsid w:val="005E78E0"/>
    <w:rsid w:val="005F0D9C"/>
    <w:rsid w:val="005F284E"/>
    <w:rsid w:val="005F4712"/>
    <w:rsid w:val="0060020D"/>
    <w:rsid w:val="006015CE"/>
    <w:rsid w:val="006028C2"/>
    <w:rsid w:val="00604784"/>
    <w:rsid w:val="00605F08"/>
    <w:rsid w:val="00606419"/>
    <w:rsid w:val="00607D29"/>
    <w:rsid w:val="00612952"/>
    <w:rsid w:val="00614CC1"/>
    <w:rsid w:val="00615A9D"/>
    <w:rsid w:val="00617387"/>
    <w:rsid w:val="006205D6"/>
    <w:rsid w:val="006237BA"/>
    <w:rsid w:val="006252D8"/>
    <w:rsid w:val="006259BC"/>
    <w:rsid w:val="0062636B"/>
    <w:rsid w:val="00631379"/>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1A7A"/>
    <w:rsid w:val="006640E5"/>
    <w:rsid w:val="006646F1"/>
    <w:rsid w:val="00664929"/>
    <w:rsid w:val="00664F62"/>
    <w:rsid w:val="006655E1"/>
    <w:rsid w:val="00672060"/>
    <w:rsid w:val="006726C2"/>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3C77"/>
    <w:rsid w:val="006B54BF"/>
    <w:rsid w:val="006B5F44"/>
    <w:rsid w:val="006B5F90"/>
    <w:rsid w:val="006B62E4"/>
    <w:rsid w:val="006C1BBA"/>
    <w:rsid w:val="006C2079"/>
    <w:rsid w:val="006C4BEA"/>
    <w:rsid w:val="006C5A62"/>
    <w:rsid w:val="006C5D68"/>
    <w:rsid w:val="006C6976"/>
    <w:rsid w:val="006C6DD0"/>
    <w:rsid w:val="006D04EA"/>
    <w:rsid w:val="006D16C4"/>
    <w:rsid w:val="006D3E96"/>
    <w:rsid w:val="006D4515"/>
    <w:rsid w:val="006D4BB1"/>
    <w:rsid w:val="006D4C34"/>
    <w:rsid w:val="006D6593"/>
    <w:rsid w:val="006E23EA"/>
    <w:rsid w:val="006F03A8"/>
    <w:rsid w:val="006F2ACA"/>
    <w:rsid w:val="006F2ADC"/>
    <w:rsid w:val="006F2BFE"/>
    <w:rsid w:val="006F31E9"/>
    <w:rsid w:val="006F38E6"/>
    <w:rsid w:val="006F6284"/>
    <w:rsid w:val="006F629F"/>
    <w:rsid w:val="007002C5"/>
    <w:rsid w:val="00704387"/>
    <w:rsid w:val="00707669"/>
    <w:rsid w:val="00711CBA"/>
    <w:rsid w:val="00711EA4"/>
    <w:rsid w:val="00711FB5"/>
    <w:rsid w:val="00712A01"/>
    <w:rsid w:val="00714F58"/>
    <w:rsid w:val="00722FBF"/>
    <w:rsid w:val="00722FC2"/>
    <w:rsid w:val="00724879"/>
    <w:rsid w:val="00724E1B"/>
    <w:rsid w:val="00725949"/>
    <w:rsid w:val="00727FA2"/>
    <w:rsid w:val="007315E8"/>
    <w:rsid w:val="007322D9"/>
    <w:rsid w:val="00732BC0"/>
    <w:rsid w:val="00736161"/>
    <w:rsid w:val="0073720F"/>
    <w:rsid w:val="00737796"/>
    <w:rsid w:val="0074165C"/>
    <w:rsid w:val="00742C35"/>
    <w:rsid w:val="007432CA"/>
    <w:rsid w:val="007439EB"/>
    <w:rsid w:val="00743CB4"/>
    <w:rsid w:val="00743F0A"/>
    <w:rsid w:val="007444E8"/>
    <w:rsid w:val="0074548E"/>
    <w:rsid w:val="00745773"/>
    <w:rsid w:val="00746800"/>
    <w:rsid w:val="00747797"/>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75C"/>
    <w:rsid w:val="007959E8"/>
    <w:rsid w:val="00795E9C"/>
    <w:rsid w:val="007979BA"/>
    <w:rsid w:val="007A0521"/>
    <w:rsid w:val="007A2E12"/>
    <w:rsid w:val="007A3475"/>
    <w:rsid w:val="007A41C8"/>
    <w:rsid w:val="007A54CE"/>
    <w:rsid w:val="007A6FD9"/>
    <w:rsid w:val="007A7FFA"/>
    <w:rsid w:val="007B04EB"/>
    <w:rsid w:val="007B0D4F"/>
    <w:rsid w:val="007B587D"/>
    <w:rsid w:val="007B5A3D"/>
    <w:rsid w:val="007B5B95"/>
    <w:rsid w:val="007B68EA"/>
    <w:rsid w:val="007B7453"/>
    <w:rsid w:val="007C1E8B"/>
    <w:rsid w:val="007C2D89"/>
    <w:rsid w:val="007C4593"/>
    <w:rsid w:val="007C5309"/>
    <w:rsid w:val="007C6069"/>
    <w:rsid w:val="007D06C4"/>
    <w:rsid w:val="007D0A37"/>
    <w:rsid w:val="007D1352"/>
    <w:rsid w:val="007D2508"/>
    <w:rsid w:val="007D346A"/>
    <w:rsid w:val="007D6518"/>
    <w:rsid w:val="007D76BD"/>
    <w:rsid w:val="007E0BF1"/>
    <w:rsid w:val="007F0ED8"/>
    <w:rsid w:val="007F0F63"/>
    <w:rsid w:val="007F75CE"/>
    <w:rsid w:val="008013A4"/>
    <w:rsid w:val="00802515"/>
    <w:rsid w:val="008027CE"/>
    <w:rsid w:val="00802F42"/>
    <w:rsid w:val="00804383"/>
    <w:rsid w:val="00804BB7"/>
    <w:rsid w:val="00804D41"/>
    <w:rsid w:val="00810257"/>
    <w:rsid w:val="008104F5"/>
    <w:rsid w:val="00811072"/>
    <w:rsid w:val="00811369"/>
    <w:rsid w:val="0081201F"/>
    <w:rsid w:val="00815419"/>
    <w:rsid w:val="008163C8"/>
    <w:rsid w:val="008164A1"/>
    <w:rsid w:val="00817325"/>
    <w:rsid w:val="008209E6"/>
    <w:rsid w:val="00823303"/>
    <w:rsid w:val="008233B2"/>
    <w:rsid w:val="00823A9F"/>
    <w:rsid w:val="00823C85"/>
    <w:rsid w:val="00825138"/>
    <w:rsid w:val="008269DD"/>
    <w:rsid w:val="00830621"/>
    <w:rsid w:val="00832A42"/>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6B4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77D8"/>
    <w:rsid w:val="009610DC"/>
    <w:rsid w:val="00961490"/>
    <w:rsid w:val="0096197E"/>
    <w:rsid w:val="0096381A"/>
    <w:rsid w:val="00965E04"/>
    <w:rsid w:val="009674AD"/>
    <w:rsid w:val="00967A94"/>
    <w:rsid w:val="00970CDC"/>
    <w:rsid w:val="00977010"/>
    <w:rsid w:val="00977D02"/>
    <w:rsid w:val="009809BB"/>
    <w:rsid w:val="0098364B"/>
    <w:rsid w:val="00986119"/>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1B85"/>
    <w:rsid w:val="009B6029"/>
    <w:rsid w:val="009B60DB"/>
    <w:rsid w:val="009B6971"/>
    <w:rsid w:val="009C27F1"/>
    <w:rsid w:val="009C3152"/>
    <w:rsid w:val="009C4CFA"/>
    <w:rsid w:val="009C5070"/>
    <w:rsid w:val="009C5B28"/>
    <w:rsid w:val="009D0C8C"/>
    <w:rsid w:val="009D112C"/>
    <w:rsid w:val="009D47FA"/>
    <w:rsid w:val="009D4C5B"/>
    <w:rsid w:val="009D50D2"/>
    <w:rsid w:val="009D6BCA"/>
    <w:rsid w:val="009E0F62"/>
    <w:rsid w:val="009E4A58"/>
    <w:rsid w:val="009E5A2D"/>
    <w:rsid w:val="009E5AB2"/>
    <w:rsid w:val="009E6219"/>
    <w:rsid w:val="009E65E5"/>
    <w:rsid w:val="009E76FB"/>
    <w:rsid w:val="009E7BA7"/>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14F"/>
    <w:rsid w:val="00A3597D"/>
    <w:rsid w:val="00A36DD1"/>
    <w:rsid w:val="00A4006C"/>
    <w:rsid w:val="00A40091"/>
    <w:rsid w:val="00A4030F"/>
    <w:rsid w:val="00A4146E"/>
    <w:rsid w:val="00A41C79"/>
    <w:rsid w:val="00A41CB5"/>
    <w:rsid w:val="00A42CDF"/>
    <w:rsid w:val="00A4452E"/>
    <w:rsid w:val="00A4472C"/>
    <w:rsid w:val="00A44E69"/>
    <w:rsid w:val="00A4661E"/>
    <w:rsid w:val="00A46EC0"/>
    <w:rsid w:val="00A55BD6"/>
    <w:rsid w:val="00A55D50"/>
    <w:rsid w:val="00A562AE"/>
    <w:rsid w:val="00A57142"/>
    <w:rsid w:val="00A648CD"/>
    <w:rsid w:val="00A6537A"/>
    <w:rsid w:val="00A67866"/>
    <w:rsid w:val="00A704AB"/>
    <w:rsid w:val="00A70B07"/>
    <w:rsid w:val="00A723F8"/>
    <w:rsid w:val="00A77CCB"/>
    <w:rsid w:val="00A83D8D"/>
    <w:rsid w:val="00A8446B"/>
    <w:rsid w:val="00A8473F"/>
    <w:rsid w:val="00A862D6"/>
    <w:rsid w:val="00A8715E"/>
    <w:rsid w:val="00A9295B"/>
    <w:rsid w:val="00A92EB8"/>
    <w:rsid w:val="00A93B09"/>
    <w:rsid w:val="00A9417E"/>
    <w:rsid w:val="00A94247"/>
    <w:rsid w:val="00A952D7"/>
    <w:rsid w:val="00A963F7"/>
    <w:rsid w:val="00A96AD8"/>
    <w:rsid w:val="00AA052C"/>
    <w:rsid w:val="00AA1E45"/>
    <w:rsid w:val="00AA4286"/>
    <w:rsid w:val="00AA456B"/>
    <w:rsid w:val="00AA57F5"/>
    <w:rsid w:val="00AA672E"/>
    <w:rsid w:val="00AA6EC9"/>
    <w:rsid w:val="00AB1B73"/>
    <w:rsid w:val="00AB2CDB"/>
    <w:rsid w:val="00AB41D5"/>
    <w:rsid w:val="00AB6309"/>
    <w:rsid w:val="00AB6C5F"/>
    <w:rsid w:val="00AB7129"/>
    <w:rsid w:val="00AC0CDB"/>
    <w:rsid w:val="00AC1AAF"/>
    <w:rsid w:val="00AC27A6"/>
    <w:rsid w:val="00AC30F7"/>
    <w:rsid w:val="00AC3A5A"/>
    <w:rsid w:val="00AC4D95"/>
    <w:rsid w:val="00AC5DF4"/>
    <w:rsid w:val="00AD0AEF"/>
    <w:rsid w:val="00AD11B7"/>
    <w:rsid w:val="00AD1A94"/>
    <w:rsid w:val="00AD1C05"/>
    <w:rsid w:val="00AD4126"/>
    <w:rsid w:val="00AD421C"/>
    <w:rsid w:val="00AD44FA"/>
    <w:rsid w:val="00AD4A66"/>
    <w:rsid w:val="00AD5A95"/>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0B59"/>
    <w:rsid w:val="00B72880"/>
    <w:rsid w:val="00B758BF"/>
    <w:rsid w:val="00B77EC8"/>
    <w:rsid w:val="00B81086"/>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4EC6"/>
    <w:rsid w:val="00C056B3"/>
    <w:rsid w:val="00C103E5"/>
    <w:rsid w:val="00C13319"/>
    <w:rsid w:val="00C13EE9"/>
    <w:rsid w:val="00C16CA0"/>
    <w:rsid w:val="00C21540"/>
    <w:rsid w:val="00C21906"/>
    <w:rsid w:val="00C21BFA"/>
    <w:rsid w:val="00C22148"/>
    <w:rsid w:val="00C24C8D"/>
    <w:rsid w:val="00C25FE2"/>
    <w:rsid w:val="00C26B53"/>
    <w:rsid w:val="00C279B2"/>
    <w:rsid w:val="00C33E50"/>
    <w:rsid w:val="00C34B22"/>
    <w:rsid w:val="00C34C20"/>
    <w:rsid w:val="00C35A3E"/>
    <w:rsid w:val="00C42130"/>
    <w:rsid w:val="00C423A4"/>
    <w:rsid w:val="00C44BF5"/>
    <w:rsid w:val="00C5134F"/>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1010"/>
    <w:rsid w:val="00CC39FF"/>
    <w:rsid w:val="00CC3C2F"/>
    <w:rsid w:val="00CC4AC8"/>
    <w:rsid w:val="00CC5233"/>
    <w:rsid w:val="00CC5DE6"/>
    <w:rsid w:val="00CC6E4E"/>
    <w:rsid w:val="00CC6FE8"/>
    <w:rsid w:val="00CC7202"/>
    <w:rsid w:val="00CD27E9"/>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3EBE"/>
    <w:rsid w:val="00D352A2"/>
    <w:rsid w:val="00D36D6A"/>
    <w:rsid w:val="00D4162B"/>
    <w:rsid w:val="00D4514F"/>
    <w:rsid w:val="00D451E2"/>
    <w:rsid w:val="00D45E89"/>
    <w:rsid w:val="00D45E8D"/>
    <w:rsid w:val="00D466AE"/>
    <w:rsid w:val="00D4734F"/>
    <w:rsid w:val="00D47AD3"/>
    <w:rsid w:val="00D51BF3"/>
    <w:rsid w:val="00D53296"/>
    <w:rsid w:val="00D6440B"/>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1F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117F"/>
    <w:rsid w:val="00DE2410"/>
    <w:rsid w:val="00DE2939"/>
    <w:rsid w:val="00DE6E81"/>
    <w:rsid w:val="00DE703F"/>
    <w:rsid w:val="00DE7595"/>
    <w:rsid w:val="00DE7E9D"/>
    <w:rsid w:val="00DE7EFA"/>
    <w:rsid w:val="00DF1961"/>
    <w:rsid w:val="00DF44DE"/>
    <w:rsid w:val="00DF4684"/>
    <w:rsid w:val="00DF5F11"/>
    <w:rsid w:val="00E01138"/>
    <w:rsid w:val="00E02DFB"/>
    <w:rsid w:val="00E030F9"/>
    <w:rsid w:val="00E0311A"/>
    <w:rsid w:val="00E03138"/>
    <w:rsid w:val="00E034D3"/>
    <w:rsid w:val="00E0396F"/>
    <w:rsid w:val="00E06404"/>
    <w:rsid w:val="00E11A85"/>
    <w:rsid w:val="00E12495"/>
    <w:rsid w:val="00E15CCD"/>
    <w:rsid w:val="00E202EF"/>
    <w:rsid w:val="00E210B5"/>
    <w:rsid w:val="00E23D99"/>
    <w:rsid w:val="00E25006"/>
    <w:rsid w:val="00E2552F"/>
    <w:rsid w:val="00E3137A"/>
    <w:rsid w:val="00E32CCF"/>
    <w:rsid w:val="00E34A98"/>
    <w:rsid w:val="00E34F88"/>
    <w:rsid w:val="00E35D1E"/>
    <w:rsid w:val="00E364F9"/>
    <w:rsid w:val="00E365FA"/>
    <w:rsid w:val="00E36789"/>
    <w:rsid w:val="00E44A83"/>
    <w:rsid w:val="00E502C1"/>
    <w:rsid w:val="00E502DD"/>
    <w:rsid w:val="00E50D3A"/>
    <w:rsid w:val="00E51387"/>
    <w:rsid w:val="00E51E68"/>
    <w:rsid w:val="00E52EFD"/>
    <w:rsid w:val="00E5408A"/>
    <w:rsid w:val="00E545F2"/>
    <w:rsid w:val="00E56800"/>
    <w:rsid w:val="00E60C63"/>
    <w:rsid w:val="00E62FF9"/>
    <w:rsid w:val="00E635D6"/>
    <w:rsid w:val="00E639BC"/>
    <w:rsid w:val="00E664CC"/>
    <w:rsid w:val="00E70388"/>
    <w:rsid w:val="00E70F92"/>
    <w:rsid w:val="00E71E12"/>
    <w:rsid w:val="00E74C54"/>
    <w:rsid w:val="00E77A03"/>
    <w:rsid w:val="00E81B5A"/>
    <w:rsid w:val="00E822E8"/>
    <w:rsid w:val="00E82554"/>
    <w:rsid w:val="00E82606"/>
    <w:rsid w:val="00E846C8"/>
    <w:rsid w:val="00E84957"/>
    <w:rsid w:val="00E84A55"/>
    <w:rsid w:val="00E85BFF"/>
    <w:rsid w:val="00E8702C"/>
    <w:rsid w:val="00E90391"/>
    <w:rsid w:val="00E906C2"/>
    <w:rsid w:val="00E9311F"/>
    <w:rsid w:val="00E934D1"/>
    <w:rsid w:val="00E94AF0"/>
    <w:rsid w:val="00E95D13"/>
    <w:rsid w:val="00E95DD3"/>
    <w:rsid w:val="00E969D5"/>
    <w:rsid w:val="00EA513F"/>
    <w:rsid w:val="00EA58D1"/>
    <w:rsid w:val="00EA61BC"/>
    <w:rsid w:val="00EA681A"/>
    <w:rsid w:val="00EA735B"/>
    <w:rsid w:val="00EB17DE"/>
    <w:rsid w:val="00EB1E69"/>
    <w:rsid w:val="00EB2086"/>
    <w:rsid w:val="00EB5EDF"/>
    <w:rsid w:val="00EB60FE"/>
    <w:rsid w:val="00EB74DB"/>
    <w:rsid w:val="00EC1EFA"/>
    <w:rsid w:val="00EC206B"/>
    <w:rsid w:val="00EC5359"/>
    <w:rsid w:val="00EC562A"/>
    <w:rsid w:val="00ED067A"/>
    <w:rsid w:val="00ED2B50"/>
    <w:rsid w:val="00EE0350"/>
    <w:rsid w:val="00EE0719"/>
    <w:rsid w:val="00EE0E80"/>
    <w:rsid w:val="00EE54A6"/>
    <w:rsid w:val="00EE613F"/>
    <w:rsid w:val="00EE7295"/>
    <w:rsid w:val="00EE7869"/>
    <w:rsid w:val="00EF04AC"/>
    <w:rsid w:val="00EF054A"/>
    <w:rsid w:val="00EF0C6C"/>
    <w:rsid w:val="00EF3235"/>
    <w:rsid w:val="00EF5CC1"/>
    <w:rsid w:val="00EF7E72"/>
    <w:rsid w:val="00F02218"/>
    <w:rsid w:val="00F06D37"/>
    <w:rsid w:val="00F07B9D"/>
    <w:rsid w:val="00F11586"/>
    <w:rsid w:val="00F1183B"/>
    <w:rsid w:val="00F11C9F"/>
    <w:rsid w:val="00F12263"/>
    <w:rsid w:val="00F1409D"/>
    <w:rsid w:val="00F14214"/>
    <w:rsid w:val="00F157A9"/>
    <w:rsid w:val="00F17E21"/>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1B1"/>
    <w:rsid w:val="00F6412A"/>
    <w:rsid w:val="00F65893"/>
    <w:rsid w:val="00F66A4A"/>
    <w:rsid w:val="00F71A72"/>
    <w:rsid w:val="00F71E22"/>
    <w:rsid w:val="00F72142"/>
    <w:rsid w:val="00F72AE7"/>
    <w:rsid w:val="00F81141"/>
    <w:rsid w:val="00F82A36"/>
    <w:rsid w:val="00F833BA"/>
    <w:rsid w:val="00F84FD0"/>
    <w:rsid w:val="00F859A8"/>
    <w:rsid w:val="00F86D87"/>
    <w:rsid w:val="00F9108B"/>
    <w:rsid w:val="00F91349"/>
    <w:rsid w:val="00F93A8A"/>
    <w:rsid w:val="00F941C5"/>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A7B"/>
    <w:rsid w:val="00FF3E7D"/>
    <w:rsid w:val="00FF5B99"/>
    <w:rsid w:val="00FF730C"/>
    <w:rsid w:val="00FF73F4"/>
    <w:rsid w:val="00FF7CE4"/>
    <w:rsid w:val="00FF7E39"/>
    <w:rsid w:val="15FB6E68"/>
    <w:rsid w:val="7C43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9"/>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FollowedHyperlink"/>
    <w:basedOn w:val="28"/>
    <w:qFormat/>
    <w:uiPriority w:val="0"/>
    <w:rPr>
      <w:rFonts w:ascii="Times New Roman" w:hAnsi="Times New Roman" w:eastAsia="宋体" w:cs="Times New Roman"/>
      <w:color w:val="4D4D4D"/>
      <w:u w:val="none"/>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5"/>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pPr>
  </w:style>
  <w:style w:type="paragraph" w:customStyle="1" w:styleId="92">
    <w:name w:val="标准文件_目录标题"/>
    <w:basedOn w:val="1"/>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8"/>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8"/>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8"/>
    <w:qFormat/>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Times New Roman" w:hAnsi="Times New Roman" w:eastAsia="宋体" w:cs="Times New Roman"/>
      <w:sz w:val="21"/>
      <w:lang w:val="en-US" w:eastAsia="zh-CN" w:bidi="ar-SA"/>
    </w:rPr>
  </w:style>
  <w:style w:type="character" w:customStyle="1" w:styleId="232">
    <w:name w:val="段 Char"/>
    <w:basedOn w:val="28"/>
    <w:link w:val="231"/>
    <w:qFormat/>
    <w:uiPriority w:val="0"/>
    <w:rPr>
      <w:rFonts w:ascii="Times New Roman" w:hAnsi="Times New Roman"/>
      <w:sz w:val="21"/>
    </w:rPr>
  </w:style>
  <w:style w:type="paragraph" w:styleId="233">
    <w:name w:val="List Paragraph"/>
    <w:basedOn w:val="1"/>
    <w:qFormat/>
    <w:uiPriority w:val="34"/>
    <w:pPr>
      <w:adjustRightInd/>
      <w:spacing w:line="240" w:lineRule="auto"/>
      <w:ind w:firstLine="420" w:firstLineChars="200"/>
    </w:pPr>
    <w:rPr>
      <w:rFonts w:ascii="Times New Roman" w:hAnsi="Times New Roman"/>
      <w:szCs w:val="24"/>
    </w:rPr>
  </w:style>
  <w:style w:type="paragraph" w:customStyle="1" w:styleId="234">
    <w:name w:val="列出段落1"/>
    <w:basedOn w:val="1"/>
    <w:qFormat/>
    <w:uiPriority w:val="34"/>
    <w:pPr>
      <w:adjustRightInd/>
      <w:spacing w:line="240" w:lineRule="auto"/>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646BF0EB2534B60AD53DAE72627BD7C"/>
        <w:style w:val=""/>
        <w:category>
          <w:name w:val="常规"/>
          <w:gallery w:val="placeholder"/>
        </w:category>
        <w:types>
          <w:type w:val="bbPlcHdr"/>
        </w:types>
        <w:behaviors>
          <w:behavior w:val="content"/>
        </w:behaviors>
        <w:description w:val=""/>
        <w:guid w:val="{B99F26F9-714F-486F-87DD-B93D2FB03780}"/>
      </w:docPartPr>
      <w:docPartBody>
        <w:p>
          <w:pPr>
            <w:pStyle w:val="5"/>
          </w:pPr>
          <w:r>
            <w:rPr>
              <w:rStyle w:val="4"/>
              <w:rFonts w:hint="eastAsia"/>
            </w:rPr>
            <w:t>单击或点击此处输入文字。</w:t>
          </w:r>
        </w:p>
      </w:docPartBody>
    </w:docPart>
    <w:docPart>
      <w:docPartPr>
        <w:name w:val="0B6F357704864AA89B02FE10EB9A92DB"/>
        <w:style w:val=""/>
        <w:category>
          <w:name w:val="常规"/>
          <w:gallery w:val="placeholder"/>
        </w:category>
        <w:types>
          <w:type w:val="bbPlcHdr"/>
        </w:types>
        <w:behaviors>
          <w:behavior w:val="content"/>
        </w:behaviors>
        <w:description w:val=""/>
        <w:guid w:val="{90DE0DF0-BE22-429C-9574-EECA16437715}"/>
      </w:docPartPr>
      <w:docPartBody>
        <w:p>
          <w:pPr>
            <w:pStyle w:val="6"/>
          </w:pPr>
          <w:r>
            <w:rPr>
              <w:rStyle w:val="4"/>
              <w:rFonts w:hint="eastAsia"/>
            </w:rPr>
            <w:t>选择一项。</w:t>
          </w:r>
        </w:p>
      </w:docPartBody>
    </w:docPart>
    <w:docPart>
      <w:docPartPr>
        <w:name w:val="8A8EC7175F624F0BBF0438C9350476DA"/>
        <w:style w:val=""/>
        <w:category>
          <w:name w:val="常规"/>
          <w:gallery w:val="placeholder"/>
        </w:category>
        <w:types>
          <w:type w:val="bbPlcHdr"/>
        </w:types>
        <w:behaviors>
          <w:behavior w:val="content"/>
        </w:behaviors>
        <w:description w:val=""/>
        <w:guid w:val="{C843038E-C9AF-493B-9DFF-3912B9FBE54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10"/>
    <w:rsid w:val="000A6E82"/>
    <w:rsid w:val="00212EA2"/>
    <w:rsid w:val="00445374"/>
    <w:rsid w:val="004F7D6D"/>
    <w:rsid w:val="006278DB"/>
    <w:rsid w:val="007072D4"/>
    <w:rsid w:val="00724C3D"/>
    <w:rsid w:val="00736C9D"/>
    <w:rsid w:val="00756A7C"/>
    <w:rsid w:val="0077781C"/>
    <w:rsid w:val="00792010"/>
    <w:rsid w:val="00801EF9"/>
    <w:rsid w:val="00914F26"/>
    <w:rsid w:val="0096618E"/>
    <w:rsid w:val="009D60D7"/>
    <w:rsid w:val="00A82253"/>
    <w:rsid w:val="00BA322E"/>
    <w:rsid w:val="00C453AA"/>
    <w:rsid w:val="00C46AD6"/>
    <w:rsid w:val="00DC73CE"/>
    <w:rsid w:val="00E0449E"/>
    <w:rsid w:val="00E722D9"/>
    <w:rsid w:val="00F7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646BF0EB2534B60AD53DAE72627BD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B6F357704864AA89B02FE10EB9A9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A8EC7175F624F0BBF0438C9350476D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648C7-8F22-4169-AD10-D0BA06DA1D53}">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12</Pages>
  <Words>6026</Words>
  <Characters>6534</Characters>
  <Lines>68</Lines>
  <Paragraphs>19</Paragraphs>
  <TotalTime>1</TotalTime>
  <ScaleCrop>false</ScaleCrop>
  <LinksUpToDate>false</LinksUpToDate>
  <CharactersWithSpaces>6720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2022-05-31T08:59:00Z</dcterms:created>
  <dc:creator>王梦迪</dc:creator>
  <dc:description>&lt;config cover="true" show_menu="true" version="1.0.0" doctype="SDKXY"&gt;_x000d_
&lt;/config&gt;</dc:description>
  <cp:lastModifiedBy>李泽杨</cp:lastModifiedBy>
  <cp:lastPrinted>2020-08-30T10:00:00Z</cp:lastPrinted>
  <dcterms:modified xsi:type="dcterms:W3CDTF">2022-06-02T12:04:36Z</dcterms:modified>
  <dc:title>地方标准</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431993C22CDB4EF8AABE7CB56F794C60</vt:lpwstr>
  </property>
</Properties>
</file>