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jc w:val="left"/>
        <w:rPr>
          <w:rFonts w:hint="eastAsia" w:cs="Times New Roman"/>
          <w:kern w:val="2"/>
          <w:sz w:val="21"/>
          <w:lang w:val="en-US" w:eastAsia="zh-CN" w:bidi="ar-SA"/>
        </w:rPr>
      </w:pPr>
    </w:p>
    <w:p>
      <w:pPr>
        <w:jc w:val="left"/>
        <w:rPr>
          <w:rFonts w:hint="eastAsia" w:cs="Times New Roman"/>
          <w:kern w:val="2"/>
          <w:sz w:val="21"/>
          <w:lang w:val="en-US" w:eastAsia="zh-CN" w:bidi="ar-SA"/>
        </w:rPr>
      </w:pPr>
    </w:p>
    <w:p>
      <w:pPr>
        <w:pStyle w:val="28"/>
        <w:framePr w:w="0" w:hRule="auto" w:wrap="auto" w:vAnchor="margin" w:hAnchor="text" w:xAlign="left" w:yAlign="inline"/>
        <w:rPr>
          <w:rFonts w:ascii="Times New Roman"/>
        </w:rPr>
      </w:pPr>
      <w:bookmarkStart w:id="0" w:name="OLE_LINK2"/>
      <w:bookmarkStart w:id="1" w:name="OLE_LINK1"/>
    </w:p>
    <w:p>
      <w:pPr>
        <w:pStyle w:val="28"/>
        <w:framePr w:w="0" w:hRule="auto" w:wrap="auto" w:vAnchor="margin" w:hAnchor="text" w:xAlign="left" w:yAlign="inline"/>
        <w:rPr>
          <w:rFonts w:ascii="Times New Roman"/>
        </w:rPr>
      </w:pPr>
    </w:p>
    <w:p>
      <w:pPr>
        <w:pStyle w:val="28"/>
        <w:framePr w:w="0" w:hRule="auto" w:wrap="auto" w:vAnchor="margin" w:hAnchor="text" w:xAlign="left" w:yAlign="inline"/>
        <w:jc w:val="both"/>
        <w:rPr>
          <w:rFonts w:ascii="Times New Roman"/>
        </w:rPr>
      </w:pPr>
    </w:p>
    <w:p>
      <w:pPr>
        <w:pStyle w:val="28"/>
        <w:framePr w:w="0" w:hRule="auto" w:wrap="auto" w:vAnchor="margin" w:hAnchor="text" w:xAlign="left" w:yAlign="inline"/>
        <w:spacing w:line="360" w:lineRule="auto"/>
        <w:jc w:val="center"/>
        <w:rPr>
          <w:rFonts w:ascii="Times New Roman"/>
        </w:rPr>
      </w:pPr>
      <w:r>
        <w:rPr>
          <w:rFonts w:hint="eastAsia" w:ascii="Times New Roman"/>
        </w:rPr>
        <w:t>北京市绿色数据中心评价规范</w:t>
      </w:r>
    </w:p>
    <w:p>
      <w:pPr>
        <w:pStyle w:val="29"/>
        <w:framePr w:vAnchor="margin" w:hAnchor="text" w:yAlign="inline"/>
        <w:spacing w:line="360" w:lineRule="auto"/>
        <w:jc w:val="center"/>
        <w:rPr>
          <w:color w:val="000000" w:themeColor="text1"/>
          <w:spacing w:val="23"/>
          <w:w w:val="100"/>
        </w:rPr>
      </w:pPr>
      <w:r>
        <w:rPr>
          <w:rFonts w:hint="eastAsia"/>
          <w:color w:val="000000" w:themeColor="text1"/>
          <w:spacing w:val="23"/>
          <w:w w:val="100"/>
        </w:rPr>
        <w:t>（试行）</w:t>
      </w:r>
    </w:p>
    <w:bookmarkEnd w:id="0"/>
    <w:bookmarkEnd w:id="1"/>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rFonts w:hint="eastAsia"/>
          <w:color w:val="000000" w:themeColor="text1"/>
        </w:rPr>
      </w:pPr>
    </w:p>
    <w:p>
      <w:pPr>
        <w:pStyle w:val="29"/>
        <w:framePr w:vAnchor="margin" w:hAnchor="text" w:yAlign="inline"/>
        <w:jc w:val="left"/>
        <w:rPr>
          <w:rFonts w:hint="eastAsia"/>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rFonts w:hint="eastAsia"/>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jc w:val="left"/>
        <w:rPr>
          <w:color w:val="000000" w:themeColor="text1"/>
        </w:rPr>
      </w:pPr>
    </w:p>
    <w:p>
      <w:pPr>
        <w:pStyle w:val="29"/>
        <w:framePr w:vAnchor="margin" w:hAnchor="text" w:yAlign="inline"/>
        <w:rPr>
          <w:color w:val="000000" w:themeColor="text1"/>
        </w:rPr>
      </w:pPr>
    </w:p>
    <w:p>
      <w:pPr>
        <w:pStyle w:val="29"/>
        <w:framePr w:vAnchor="margin" w:hAnchor="text" w:yAlign="inline"/>
        <w:rPr>
          <w:rFonts w:hint="eastAsia"/>
          <w:color w:val="000000" w:themeColor="text1"/>
          <w:spacing w:val="23"/>
          <w:w w:val="100"/>
          <w:sz w:val="32"/>
          <w:szCs w:val="32"/>
        </w:rPr>
      </w:pPr>
      <w:r>
        <w:rPr>
          <w:rFonts w:hint="eastAsia"/>
          <w:color w:val="000000" w:themeColor="text1"/>
          <w:spacing w:val="23"/>
          <w:w w:val="100"/>
          <w:sz w:val="32"/>
          <w:szCs w:val="32"/>
        </w:rPr>
        <w:t>北京市经济和信息化局</w:t>
      </w:r>
    </w:p>
    <w:p>
      <w:pPr>
        <w:pStyle w:val="29"/>
        <w:framePr w:vAnchor="margin" w:hAnchor="text" w:yAlign="inline"/>
        <w:rPr>
          <w:rFonts w:hint="eastAsia"/>
          <w:color w:val="000000" w:themeColor="text1"/>
          <w:spacing w:val="23"/>
          <w:w w:val="100"/>
          <w:sz w:val="32"/>
          <w:szCs w:val="32"/>
        </w:rPr>
      </w:pPr>
    </w:p>
    <w:p>
      <w:pPr>
        <w:pStyle w:val="29"/>
        <w:framePr w:vAnchor="margin" w:hAnchor="text" w:yAlign="inline"/>
        <w:rPr>
          <w:color w:val="000000" w:themeColor="text1"/>
          <w:spacing w:val="23"/>
          <w:w w:val="100"/>
          <w:sz w:val="32"/>
          <w:szCs w:val="32"/>
        </w:rPr>
      </w:pPr>
      <w:r>
        <w:rPr>
          <w:rFonts w:hint="eastAsia"/>
          <w:color w:val="000000" w:themeColor="text1"/>
          <w:spacing w:val="23"/>
          <w:w w:val="100"/>
          <w:sz w:val="32"/>
          <w:szCs w:val="32"/>
        </w:rPr>
        <w:t>二O一九年四月</w:t>
      </w:r>
    </w:p>
    <w:p>
      <w:pPr>
        <w:widowControl/>
        <w:jc w:val="left"/>
        <w:rPr>
          <w:rFonts w:ascii="方正小标宋简体" w:eastAsia="方正小标宋简体"/>
          <w:sz w:val="44"/>
          <w:szCs w:val="44"/>
        </w:rPr>
      </w:pPr>
      <w:r>
        <w:rPr>
          <w:rFonts w:ascii="方正小标宋简体" w:eastAsia="方正小标宋简体"/>
          <w:sz w:val="44"/>
          <w:szCs w:val="44"/>
        </w:rPr>
        <w:br w:type="page"/>
      </w:r>
    </w:p>
    <w:p>
      <w:pPr>
        <w:tabs>
          <w:tab w:val="left" w:pos="360"/>
        </w:tabs>
        <w:jc w:val="center"/>
        <w:rPr>
          <w:rFonts w:ascii="方正小标宋简体" w:eastAsia="方正小标宋简体"/>
          <w:sz w:val="44"/>
          <w:szCs w:val="44"/>
        </w:rPr>
      </w:pPr>
      <w:r>
        <w:rPr>
          <w:rFonts w:hint="eastAsia" w:ascii="方正小标宋简体" w:eastAsia="方正小标宋简体"/>
          <w:sz w:val="44"/>
          <w:szCs w:val="44"/>
        </w:rPr>
        <w:t>北京市绿色数据中心评价规范（试行）</w:t>
      </w:r>
    </w:p>
    <w:p>
      <w:pPr>
        <w:tabs>
          <w:tab w:val="left" w:pos="360"/>
        </w:tabs>
        <w:jc w:val="center"/>
        <w:rPr>
          <w:rFonts w:ascii="方正小标宋简体" w:eastAsia="方正小标宋简体"/>
          <w:sz w:val="44"/>
          <w:szCs w:val="44"/>
        </w:rPr>
      </w:pP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sz w:val="24"/>
          <w:szCs w:val="24"/>
        </w:rPr>
      </w:pPr>
      <w:bookmarkStart w:id="2" w:name="_Toc527989620"/>
      <w:bookmarkStart w:id="3" w:name="_Toc392517548"/>
      <w:bookmarkStart w:id="4" w:name="_Toc392517451"/>
      <w:bookmarkStart w:id="5" w:name="_Toc392678096"/>
      <w:bookmarkStart w:id="6" w:name="_Toc392508145"/>
      <w:bookmarkStart w:id="7" w:name="_Toc392678227"/>
      <w:bookmarkStart w:id="8" w:name="_Toc5837336"/>
      <w:bookmarkStart w:id="9" w:name="_Hlk531961525"/>
      <w:r>
        <w:rPr>
          <w:rFonts w:hint="eastAsia"/>
          <w:sz w:val="24"/>
          <w:szCs w:val="24"/>
        </w:rPr>
        <w:t>1范围</w:t>
      </w:r>
      <w:bookmarkEnd w:id="2"/>
      <w:bookmarkEnd w:id="3"/>
      <w:bookmarkEnd w:id="4"/>
      <w:bookmarkEnd w:id="5"/>
      <w:bookmarkEnd w:id="6"/>
      <w:bookmarkEnd w:id="7"/>
      <w:bookmarkEnd w:id="8"/>
    </w:p>
    <w:bookmarkEnd w:id="9"/>
    <w:p>
      <w:pPr>
        <w:pStyle w:val="26"/>
        <w:spacing w:line="400" w:lineRule="exact"/>
        <w:ind w:firstLine="480"/>
        <w:rPr>
          <w:sz w:val="24"/>
          <w:szCs w:val="24"/>
        </w:rPr>
      </w:pPr>
      <w:r>
        <w:rPr>
          <w:rFonts w:hint="eastAsia"/>
          <w:sz w:val="24"/>
          <w:szCs w:val="24"/>
        </w:rPr>
        <w:t>本规范提出了北京市绿色</w:t>
      </w:r>
      <w:r>
        <w:rPr>
          <w:sz w:val="24"/>
          <w:szCs w:val="24"/>
        </w:rPr>
        <w:t>数据中心的</w:t>
      </w:r>
      <w:r>
        <w:rPr>
          <w:rFonts w:hint="eastAsia"/>
          <w:sz w:val="24"/>
          <w:szCs w:val="24"/>
        </w:rPr>
        <w:t>评价体系框架</w:t>
      </w:r>
      <w:r>
        <w:rPr>
          <w:sz w:val="24"/>
          <w:szCs w:val="24"/>
        </w:rPr>
        <w:t>，规定了</w:t>
      </w:r>
      <w:r>
        <w:rPr>
          <w:rFonts w:hint="eastAsia"/>
          <w:sz w:val="24"/>
          <w:szCs w:val="24"/>
        </w:rPr>
        <w:t>北京市绿色数据</w:t>
      </w:r>
      <w:r>
        <w:rPr>
          <w:sz w:val="24"/>
          <w:szCs w:val="24"/>
        </w:rPr>
        <w:t>中心</w:t>
      </w:r>
      <w:r>
        <w:rPr>
          <w:rFonts w:hint="eastAsia"/>
          <w:sz w:val="24"/>
          <w:szCs w:val="24"/>
        </w:rPr>
        <w:t>的评价要求、评价内容和评价方法。</w:t>
      </w:r>
    </w:p>
    <w:p>
      <w:pPr>
        <w:pStyle w:val="26"/>
        <w:spacing w:line="400" w:lineRule="exact"/>
        <w:ind w:firstLine="480"/>
        <w:rPr>
          <w:rFonts w:ascii="Times New Roman"/>
          <w:sz w:val="24"/>
          <w:szCs w:val="24"/>
        </w:rPr>
      </w:pPr>
      <w:r>
        <w:rPr>
          <w:rFonts w:hint="eastAsia" w:ascii="Times New Roman"/>
          <w:sz w:val="24"/>
          <w:szCs w:val="24"/>
        </w:rPr>
        <w:t>本规范适用于北京市绿色数据中心的评价活动</w:t>
      </w:r>
      <w:r>
        <w:rPr>
          <w:rFonts w:ascii="Times New Roman"/>
          <w:sz w:val="24"/>
          <w:szCs w:val="24"/>
        </w:rPr>
        <w:t>。</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bookmarkStart w:id="10" w:name="_Toc5837337"/>
      <w:r>
        <w:rPr>
          <w:rFonts w:hint="eastAsia"/>
          <w:sz w:val="24"/>
          <w:szCs w:val="24"/>
        </w:rPr>
        <w:t>2规范性引用文件</w:t>
      </w:r>
      <w:bookmarkEnd w:id="10"/>
    </w:p>
    <w:p>
      <w:pPr>
        <w:pStyle w:val="26"/>
        <w:spacing w:line="400" w:lineRule="exact"/>
        <w:ind w:firstLine="480"/>
        <w:rPr>
          <w:sz w:val="24"/>
          <w:szCs w:val="24"/>
        </w:rPr>
      </w:pPr>
      <w:r>
        <w:rPr>
          <w:rFonts w:hint="eastAsia"/>
          <w:sz w:val="24"/>
          <w:szCs w:val="24"/>
        </w:rPr>
        <w:t>下列文件对于本规范的应用是必不可少的。凡是注日期的引用文件，仅注日期的版本适用于本规范。凡是不注日期的引用规范，其最新版本（包括所有的修改单）适用于本规范。</w:t>
      </w:r>
    </w:p>
    <w:p>
      <w:pPr>
        <w:pStyle w:val="26"/>
        <w:spacing w:line="400" w:lineRule="exact"/>
        <w:ind w:firstLine="480"/>
        <w:rPr>
          <w:sz w:val="24"/>
          <w:szCs w:val="24"/>
        </w:rPr>
      </w:pPr>
      <w:r>
        <w:rPr>
          <w:rFonts w:hint="eastAsia"/>
          <w:sz w:val="24"/>
          <w:szCs w:val="24"/>
        </w:rPr>
        <w:t>GB/T 2887  计算机场地通用规范</w:t>
      </w:r>
    </w:p>
    <w:p>
      <w:pPr>
        <w:pStyle w:val="26"/>
        <w:spacing w:line="400" w:lineRule="exact"/>
        <w:ind w:firstLine="480"/>
        <w:rPr>
          <w:sz w:val="24"/>
          <w:szCs w:val="24"/>
        </w:rPr>
      </w:pPr>
      <w:r>
        <w:rPr>
          <w:rFonts w:hint="eastAsia"/>
          <w:sz w:val="24"/>
          <w:szCs w:val="24"/>
        </w:rPr>
        <w:t>GB/T 23331  能源管理体系 要求</w:t>
      </w:r>
    </w:p>
    <w:p>
      <w:pPr>
        <w:pStyle w:val="26"/>
        <w:spacing w:line="400" w:lineRule="exact"/>
        <w:ind w:firstLine="480"/>
        <w:rPr>
          <w:sz w:val="24"/>
          <w:szCs w:val="24"/>
        </w:rPr>
      </w:pPr>
      <w:r>
        <w:rPr>
          <w:rFonts w:hint="eastAsia"/>
          <w:sz w:val="24"/>
          <w:szCs w:val="24"/>
        </w:rPr>
        <w:t>GB/T 24001  环境管理体系 要求及使用指南</w:t>
      </w:r>
    </w:p>
    <w:p>
      <w:pPr>
        <w:pStyle w:val="26"/>
        <w:spacing w:line="400" w:lineRule="exact"/>
        <w:ind w:firstLine="480"/>
        <w:rPr>
          <w:sz w:val="24"/>
          <w:szCs w:val="24"/>
        </w:rPr>
      </w:pPr>
      <w:r>
        <w:rPr>
          <w:rFonts w:hint="eastAsia"/>
          <w:sz w:val="24"/>
          <w:szCs w:val="24"/>
        </w:rPr>
        <w:t>GB/T 26572  电子电气产品中限用物质的限量要求</w:t>
      </w:r>
    </w:p>
    <w:p>
      <w:pPr>
        <w:pStyle w:val="26"/>
        <w:spacing w:line="400" w:lineRule="exact"/>
        <w:ind w:firstLine="480"/>
        <w:rPr>
          <w:sz w:val="24"/>
          <w:szCs w:val="24"/>
        </w:rPr>
      </w:pPr>
      <w:r>
        <w:rPr>
          <w:sz w:val="24"/>
          <w:szCs w:val="24"/>
        </w:rPr>
        <w:t>GB/T 28001职业健康安全管理体系 要求</w:t>
      </w:r>
    </w:p>
    <w:p>
      <w:pPr>
        <w:pStyle w:val="26"/>
        <w:spacing w:line="400" w:lineRule="exact"/>
        <w:ind w:firstLine="480"/>
        <w:rPr>
          <w:sz w:val="24"/>
          <w:szCs w:val="24"/>
        </w:rPr>
      </w:pPr>
      <w:r>
        <w:rPr>
          <w:rFonts w:hint="eastAsia"/>
          <w:sz w:val="24"/>
          <w:szCs w:val="24"/>
        </w:rPr>
        <w:t>GB/T 32910.1  数据中心 资源利用 第1部分：术语</w:t>
      </w:r>
    </w:p>
    <w:p>
      <w:pPr>
        <w:pStyle w:val="26"/>
        <w:spacing w:line="400" w:lineRule="exact"/>
        <w:ind w:firstLine="480"/>
        <w:rPr>
          <w:sz w:val="24"/>
          <w:szCs w:val="24"/>
        </w:rPr>
      </w:pPr>
      <w:r>
        <w:rPr>
          <w:rFonts w:hint="eastAsia"/>
          <w:sz w:val="24"/>
          <w:szCs w:val="24"/>
        </w:rPr>
        <w:t>GB/T 32910.2  数据中心 资源利用 第2部分：关键性能指标设置要求</w:t>
      </w:r>
    </w:p>
    <w:p>
      <w:pPr>
        <w:pStyle w:val="26"/>
        <w:spacing w:line="400" w:lineRule="exact"/>
        <w:ind w:firstLine="480"/>
        <w:rPr>
          <w:sz w:val="24"/>
          <w:szCs w:val="24"/>
        </w:rPr>
      </w:pPr>
      <w:r>
        <w:rPr>
          <w:rFonts w:hint="eastAsia"/>
          <w:sz w:val="24"/>
          <w:szCs w:val="24"/>
        </w:rPr>
        <w:t>GB/T 32910.3  数据中心 资源利用 第3部分：电能能效要求和测量方法</w:t>
      </w:r>
    </w:p>
    <w:p>
      <w:pPr>
        <w:pStyle w:val="26"/>
        <w:spacing w:line="400" w:lineRule="exact"/>
        <w:ind w:firstLine="480"/>
        <w:rPr>
          <w:sz w:val="24"/>
          <w:szCs w:val="24"/>
        </w:rPr>
      </w:pPr>
      <w:r>
        <w:rPr>
          <w:rFonts w:hint="eastAsia"/>
          <w:sz w:val="24"/>
          <w:szCs w:val="24"/>
        </w:rPr>
        <w:t>GB/T 33136  信息技术服务 数据中心服务能力成熟度模型</w:t>
      </w:r>
    </w:p>
    <w:p>
      <w:pPr>
        <w:pStyle w:val="26"/>
        <w:spacing w:line="400" w:lineRule="exact"/>
        <w:ind w:firstLine="480"/>
        <w:rPr>
          <w:sz w:val="24"/>
          <w:szCs w:val="24"/>
        </w:rPr>
      </w:pPr>
      <w:r>
        <w:rPr>
          <w:rFonts w:hint="eastAsia"/>
          <w:sz w:val="24"/>
          <w:szCs w:val="24"/>
        </w:rPr>
        <w:t>GB/T 51314  数据中心基础设施运行维护标准</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3术语、定义</w:t>
      </w:r>
    </w:p>
    <w:p>
      <w:pPr>
        <w:pStyle w:val="26"/>
        <w:ind w:firstLine="480"/>
        <w:jc w:val="left"/>
        <w:rPr>
          <w:rFonts w:ascii="Times New Roman"/>
          <w:sz w:val="24"/>
          <w:szCs w:val="24"/>
        </w:rPr>
      </w:pPr>
      <w:r>
        <w:rPr>
          <w:rFonts w:hint="eastAsia" w:ascii="Times New Roman"/>
          <w:sz w:val="24"/>
          <w:szCs w:val="24"/>
        </w:rPr>
        <w:t>GB/T 32910.1界定的及下列术语和定义适用于本文件。</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3.1</w:t>
      </w:r>
    </w:p>
    <w:p>
      <w:pPr>
        <w:pStyle w:val="32"/>
        <w:spacing w:before="120" w:after="120"/>
        <w:ind w:firstLine="480" w:firstLineChars="200"/>
        <w:outlineLvl w:val="9"/>
        <w:rPr>
          <w:rFonts w:ascii="Times New Roman"/>
          <w:sz w:val="24"/>
          <w:szCs w:val="24"/>
        </w:rPr>
      </w:pPr>
      <w:r>
        <w:rPr>
          <w:rFonts w:hint="eastAsia" w:ascii="Times New Roman"/>
          <w:sz w:val="24"/>
          <w:szCs w:val="24"/>
        </w:rPr>
        <w:t>数据中心d</w:t>
      </w:r>
      <w:r>
        <w:rPr>
          <w:rFonts w:ascii="Times New Roman"/>
          <w:sz w:val="24"/>
          <w:szCs w:val="24"/>
        </w:rPr>
        <w:t>ata center</w:t>
      </w:r>
    </w:p>
    <w:p>
      <w:pPr>
        <w:pStyle w:val="26"/>
        <w:spacing w:line="400" w:lineRule="exact"/>
        <w:ind w:firstLine="480"/>
        <w:rPr>
          <w:sz w:val="24"/>
          <w:szCs w:val="24"/>
        </w:rPr>
      </w:pPr>
      <w:r>
        <w:rPr>
          <w:rFonts w:hint="eastAsia"/>
          <w:sz w:val="24"/>
          <w:szCs w:val="24"/>
        </w:rPr>
        <w:t>由计算机场站（机房）、机房基础设施、信息系统硬件（物理和虚拟资源）、信息系统软件、信息资源（数据）和人员以及相应的规章制度组成的组织。</w:t>
      </w:r>
    </w:p>
    <w:p>
      <w:pPr>
        <w:pStyle w:val="26"/>
        <w:spacing w:line="400" w:lineRule="exact"/>
        <w:rPr>
          <w:sz w:val="24"/>
          <w:szCs w:val="24"/>
        </w:rPr>
      </w:pPr>
      <w:r>
        <w:rPr>
          <w:rFonts w:hint="eastAsia" w:hAnsi="宋体" w:cs="宋体"/>
        </w:rPr>
        <w:t>[ G</w:t>
      </w:r>
      <w:r>
        <w:rPr>
          <w:rFonts w:hint="eastAsia"/>
        </w:rPr>
        <w:t>B/T32910.1-2017，定义2.1。</w:t>
      </w:r>
      <w:r>
        <w:rPr>
          <w:rFonts w:hint="eastAsia" w:hAnsi="宋体" w:cs="宋体"/>
        </w:rPr>
        <w:t>]</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3.2</w:t>
      </w:r>
    </w:p>
    <w:p>
      <w:pPr>
        <w:pStyle w:val="32"/>
        <w:spacing w:before="120" w:after="120"/>
        <w:ind w:firstLine="480" w:firstLineChars="200"/>
        <w:outlineLvl w:val="9"/>
        <w:rPr>
          <w:rFonts w:ascii="Times New Roman"/>
          <w:sz w:val="24"/>
          <w:szCs w:val="24"/>
        </w:rPr>
      </w:pPr>
      <w:r>
        <w:rPr>
          <w:rFonts w:hint="eastAsia" w:ascii="Times New Roman"/>
          <w:sz w:val="24"/>
          <w:szCs w:val="24"/>
        </w:rPr>
        <w:t>绿色数据中心g</w:t>
      </w:r>
      <w:r>
        <w:rPr>
          <w:rFonts w:ascii="Times New Roman"/>
          <w:sz w:val="24"/>
          <w:szCs w:val="24"/>
        </w:rPr>
        <w:t xml:space="preserve">reen </w:t>
      </w:r>
      <w:r>
        <w:rPr>
          <w:rFonts w:hint="eastAsia" w:ascii="Times New Roman"/>
          <w:sz w:val="24"/>
          <w:szCs w:val="24"/>
        </w:rPr>
        <w:t>d</w:t>
      </w:r>
      <w:r>
        <w:rPr>
          <w:rFonts w:ascii="Times New Roman"/>
          <w:sz w:val="24"/>
          <w:szCs w:val="24"/>
        </w:rPr>
        <w:t xml:space="preserve">ata </w:t>
      </w:r>
      <w:r>
        <w:rPr>
          <w:rFonts w:hint="eastAsia" w:ascii="Times New Roman"/>
          <w:sz w:val="24"/>
          <w:szCs w:val="24"/>
        </w:rPr>
        <w:t>c</w:t>
      </w:r>
      <w:r>
        <w:rPr>
          <w:rFonts w:ascii="Times New Roman"/>
          <w:sz w:val="24"/>
          <w:szCs w:val="24"/>
        </w:rPr>
        <w:t>enter</w:t>
      </w:r>
    </w:p>
    <w:p>
      <w:pPr>
        <w:pStyle w:val="26"/>
        <w:spacing w:line="400" w:lineRule="exact"/>
        <w:ind w:firstLine="480"/>
        <w:rPr>
          <w:sz w:val="24"/>
          <w:szCs w:val="24"/>
        </w:rPr>
      </w:pPr>
      <w:r>
        <w:rPr>
          <w:rFonts w:hint="eastAsia"/>
          <w:sz w:val="24"/>
          <w:szCs w:val="24"/>
        </w:rPr>
        <w:t>全生存期内，在确保信息系统及其支撑设备安全、稳定、可靠运行的条件下，能取得最大化的资源效率和最小化的环境影响的数据中心。</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3.3</w:t>
      </w:r>
    </w:p>
    <w:p>
      <w:pPr>
        <w:pStyle w:val="32"/>
        <w:spacing w:before="120" w:after="120"/>
        <w:ind w:firstLine="480" w:firstLineChars="200"/>
        <w:outlineLvl w:val="9"/>
        <w:rPr>
          <w:rFonts w:ascii="Times New Roman"/>
          <w:sz w:val="24"/>
          <w:szCs w:val="24"/>
        </w:rPr>
      </w:pPr>
      <w:r>
        <w:rPr>
          <w:rFonts w:hint="eastAsia" w:ascii="Times New Roman"/>
          <w:sz w:val="24"/>
          <w:szCs w:val="24"/>
        </w:rPr>
        <w:t>绿色运维g</w:t>
      </w:r>
      <w:r>
        <w:rPr>
          <w:rFonts w:ascii="Times New Roman"/>
          <w:sz w:val="24"/>
          <w:szCs w:val="24"/>
        </w:rPr>
        <w:t>reen operation and maintenance</w:t>
      </w:r>
    </w:p>
    <w:p>
      <w:pPr>
        <w:pStyle w:val="26"/>
        <w:spacing w:line="400" w:lineRule="exact"/>
        <w:ind w:firstLine="480"/>
        <w:rPr>
          <w:sz w:val="24"/>
          <w:szCs w:val="24"/>
        </w:rPr>
      </w:pPr>
      <w:r>
        <w:rPr>
          <w:rFonts w:hint="eastAsia"/>
          <w:sz w:val="24"/>
          <w:szCs w:val="24"/>
        </w:rPr>
        <w:t>在确保安全、高可用和业务连续目标达成的前提下，以尽可能少的资源消耗和尽可能小的环境影响，提供尽可能多的业务能力为目标运行维护组织方式。</w:t>
      </w:r>
    </w:p>
    <w:p>
      <w:pPr>
        <w:pStyle w:val="32"/>
        <w:spacing w:before="120" w:after="120"/>
        <w:rPr>
          <w:rFonts w:hAnsi="黑体"/>
          <w:sz w:val="24"/>
          <w:szCs w:val="24"/>
        </w:rPr>
      </w:pPr>
      <w:r>
        <w:rPr>
          <w:rFonts w:hint="eastAsia" w:hAnsi="黑体"/>
          <w:sz w:val="24"/>
          <w:szCs w:val="24"/>
        </w:rPr>
        <w:t>3</w:t>
      </w:r>
      <w:r>
        <w:rPr>
          <w:rFonts w:hAnsi="黑体"/>
          <w:sz w:val="24"/>
          <w:szCs w:val="24"/>
        </w:rPr>
        <w:t>.</w:t>
      </w:r>
      <w:r>
        <w:rPr>
          <w:rFonts w:hint="eastAsia" w:hAnsi="黑体"/>
          <w:sz w:val="24"/>
          <w:szCs w:val="24"/>
        </w:rPr>
        <w:t>4</w:t>
      </w:r>
    </w:p>
    <w:p>
      <w:pPr>
        <w:pStyle w:val="26"/>
        <w:tabs>
          <w:tab w:val="clear" w:pos="4201"/>
          <w:tab w:val="clear" w:pos="9298"/>
        </w:tabs>
        <w:ind w:firstLine="480"/>
        <w:rPr>
          <w:rFonts w:ascii="黑体" w:eastAsia="黑体"/>
          <w:sz w:val="24"/>
          <w:szCs w:val="24"/>
        </w:rPr>
      </w:pPr>
      <w:r>
        <w:rPr>
          <w:rFonts w:hint="eastAsia" w:ascii="黑体" w:eastAsia="黑体"/>
          <w:sz w:val="24"/>
          <w:szCs w:val="24"/>
        </w:rPr>
        <w:t>数据中心电能使用效率</w:t>
      </w:r>
      <w:r>
        <w:rPr>
          <w:rFonts w:hint="eastAsia" w:ascii="Times New Roman" w:eastAsia="黑体"/>
          <w:sz w:val="24"/>
          <w:szCs w:val="24"/>
        </w:rPr>
        <w:t>d</w:t>
      </w:r>
      <w:r>
        <w:rPr>
          <w:rFonts w:ascii="Times New Roman" w:eastAsia="黑体"/>
          <w:sz w:val="24"/>
          <w:szCs w:val="24"/>
        </w:rPr>
        <w:t>ata center electric energy usage effectiveness</w:t>
      </w:r>
    </w:p>
    <w:p>
      <w:pPr>
        <w:pStyle w:val="26"/>
        <w:tabs>
          <w:tab w:val="clear" w:pos="4201"/>
          <w:tab w:val="clear" w:pos="9298"/>
        </w:tabs>
        <w:ind w:firstLine="480"/>
        <w:rPr>
          <w:sz w:val="24"/>
          <w:szCs w:val="24"/>
        </w:rPr>
      </w:pPr>
      <w:r>
        <w:rPr>
          <w:rFonts w:hint="eastAsia"/>
          <w:sz w:val="24"/>
          <w:szCs w:val="24"/>
        </w:rPr>
        <w:t>为同一时间周期内数据中心总电能消耗量与信息设备电能消耗量之比。</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3.5</w:t>
      </w:r>
    </w:p>
    <w:p>
      <w:pPr>
        <w:pStyle w:val="32"/>
        <w:spacing w:before="120" w:after="120"/>
        <w:ind w:firstLine="480" w:firstLineChars="200"/>
        <w:outlineLvl w:val="9"/>
        <w:rPr>
          <w:rFonts w:ascii="Times New Roman"/>
          <w:sz w:val="24"/>
          <w:szCs w:val="24"/>
        </w:rPr>
      </w:pPr>
      <w:r>
        <w:rPr>
          <w:rFonts w:hint="eastAsia" w:ascii="Times New Roman"/>
          <w:sz w:val="24"/>
          <w:szCs w:val="24"/>
        </w:rPr>
        <w:t>评价 evaluation</w:t>
      </w:r>
    </w:p>
    <w:p>
      <w:pPr>
        <w:pStyle w:val="26"/>
        <w:spacing w:line="400" w:lineRule="exact"/>
        <w:ind w:firstLine="480"/>
        <w:rPr>
          <w:sz w:val="24"/>
          <w:szCs w:val="24"/>
        </w:rPr>
      </w:pPr>
      <w:r>
        <w:rPr>
          <w:rFonts w:hint="eastAsia"/>
          <w:sz w:val="24"/>
          <w:szCs w:val="24"/>
        </w:rPr>
        <w:t>采取取证、分析、换算等系列评估手段确定数据中心符合程度的一组活动。包括自评价（第一方评价）、相关方评价（服务需方及其他相关方对数据中心的选择评价，第二方评价）和第三方评价。</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3.6</w:t>
      </w:r>
    </w:p>
    <w:p>
      <w:pPr>
        <w:pStyle w:val="32"/>
        <w:spacing w:before="120" w:after="120"/>
        <w:ind w:firstLine="480" w:firstLineChars="200"/>
        <w:outlineLvl w:val="9"/>
        <w:rPr>
          <w:rFonts w:ascii="Times New Roman"/>
          <w:sz w:val="24"/>
          <w:szCs w:val="24"/>
        </w:rPr>
      </w:pPr>
      <w:r>
        <w:rPr>
          <w:rFonts w:hint="eastAsia" w:ascii="Times New Roman"/>
          <w:sz w:val="24"/>
          <w:szCs w:val="24"/>
        </w:rPr>
        <w:t xml:space="preserve">相关方 </w:t>
      </w:r>
      <w:r>
        <w:rPr>
          <w:rFonts w:ascii="Times New Roman"/>
          <w:sz w:val="24"/>
          <w:szCs w:val="24"/>
        </w:rPr>
        <w:t>interested</w:t>
      </w:r>
      <w:r>
        <w:rPr>
          <w:rFonts w:hint="eastAsia" w:ascii="Times New Roman"/>
          <w:sz w:val="24"/>
          <w:szCs w:val="24"/>
        </w:rPr>
        <w:t xml:space="preserve"> </w:t>
      </w:r>
      <w:r>
        <w:rPr>
          <w:rFonts w:ascii="Times New Roman"/>
          <w:sz w:val="24"/>
          <w:szCs w:val="24"/>
        </w:rPr>
        <w:t>party</w:t>
      </w:r>
    </w:p>
    <w:p>
      <w:pPr>
        <w:pStyle w:val="26"/>
        <w:spacing w:line="400" w:lineRule="exact"/>
        <w:ind w:firstLine="480"/>
        <w:rPr>
          <w:sz w:val="24"/>
          <w:szCs w:val="24"/>
        </w:rPr>
      </w:pPr>
      <w:r>
        <w:rPr>
          <w:rFonts w:hint="eastAsia"/>
          <w:sz w:val="24"/>
          <w:szCs w:val="24"/>
        </w:rPr>
        <w:t>可影响决策或活动,也被决策或活动所影响,或他自己感觉到被决策或活动所影响的个人或组织。</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4缩略语</w:t>
      </w:r>
    </w:p>
    <w:p>
      <w:pPr>
        <w:pStyle w:val="26"/>
        <w:spacing w:line="400" w:lineRule="exact"/>
        <w:ind w:firstLine="480"/>
        <w:rPr>
          <w:sz w:val="24"/>
          <w:szCs w:val="24"/>
        </w:rPr>
      </w:pPr>
      <w:r>
        <w:rPr>
          <w:rFonts w:hint="eastAsia"/>
          <w:sz w:val="24"/>
          <w:szCs w:val="24"/>
        </w:rPr>
        <w:t>EEUE（PUE）：电能使用效率（E</w:t>
      </w:r>
      <w:r>
        <w:rPr>
          <w:sz w:val="24"/>
          <w:szCs w:val="24"/>
        </w:rPr>
        <w:t xml:space="preserve">lectric </w:t>
      </w:r>
      <w:r>
        <w:rPr>
          <w:rFonts w:hint="eastAsia"/>
          <w:sz w:val="24"/>
          <w:szCs w:val="24"/>
        </w:rPr>
        <w:t>e</w:t>
      </w:r>
      <w:r>
        <w:rPr>
          <w:sz w:val="24"/>
          <w:szCs w:val="24"/>
        </w:rPr>
        <w:t>nergy</w:t>
      </w:r>
      <w:r>
        <w:rPr>
          <w:rFonts w:hint="eastAsia"/>
          <w:sz w:val="24"/>
          <w:szCs w:val="24"/>
        </w:rPr>
        <w:t xml:space="preserve"> u</w:t>
      </w:r>
      <w:r>
        <w:rPr>
          <w:sz w:val="24"/>
          <w:szCs w:val="24"/>
        </w:rPr>
        <w:t xml:space="preserve">sage </w:t>
      </w:r>
      <w:r>
        <w:rPr>
          <w:rFonts w:hint="eastAsia"/>
          <w:sz w:val="24"/>
          <w:szCs w:val="24"/>
        </w:rPr>
        <w:t>e</w:t>
      </w:r>
      <w:r>
        <w:rPr>
          <w:sz w:val="24"/>
          <w:szCs w:val="24"/>
        </w:rPr>
        <w:t>ffectiveness</w:t>
      </w:r>
      <w:r>
        <w:rPr>
          <w:rFonts w:hint="eastAsia"/>
          <w:sz w:val="24"/>
          <w:szCs w:val="24"/>
        </w:rPr>
        <w:t>）（Power u</w:t>
      </w:r>
      <w:r>
        <w:rPr>
          <w:sz w:val="24"/>
          <w:szCs w:val="24"/>
        </w:rPr>
        <w:t xml:space="preserve">sage </w:t>
      </w:r>
      <w:r>
        <w:rPr>
          <w:rFonts w:hint="eastAsia"/>
          <w:sz w:val="24"/>
          <w:szCs w:val="24"/>
        </w:rPr>
        <w:t>e</w:t>
      </w:r>
      <w:r>
        <w:rPr>
          <w:sz w:val="24"/>
          <w:szCs w:val="24"/>
        </w:rPr>
        <w:t>ffectiveness</w:t>
      </w:r>
      <w:r>
        <w:rPr>
          <w:rFonts w:hint="eastAsia"/>
          <w:sz w:val="24"/>
          <w:szCs w:val="24"/>
        </w:rPr>
        <w:t>）</w:t>
      </w:r>
    </w:p>
    <w:p>
      <w:pPr>
        <w:pStyle w:val="26"/>
        <w:spacing w:line="400" w:lineRule="exact"/>
        <w:ind w:firstLine="480"/>
        <w:rPr>
          <w:sz w:val="24"/>
          <w:szCs w:val="24"/>
        </w:rPr>
      </w:pPr>
      <w:r>
        <w:rPr>
          <w:rFonts w:hint="eastAsia"/>
          <w:sz w:val="24"/>
          <w:szCs w:val="24"/>
        </w:rPr>
        <w:t>UPS：不间断电源系统（U</w:t>
      </w:r>
      <w:r>
        <w:rPr>
          <w:sz w:val="24"/>
          <w:szCs w:val="24"/>
        </w:rPr>
        <w:t xml:space="preserve">ninterrupted </w:t>
      </w:r>
      <w:r>
        <w:rPr>
          <w:rFonts w:hint="eastAsia"/>
          <w:sz w:val="24"/>
          <w:szCs w:val="24"/>
        </w:rPr>
        <w:t>p</w:t>
      </w:r>
      <w:r>
        <w:rPr>
          <w:sz w:val="24"/>
          <w:szCs w:val="24"/>
        </w:rPr>
        <w:t xml:space="preserve">ower </w:t>
      </w:r>
      <w:r>
        <w:rPr>
          <w:rFonts w:hint="eastAsia"/>
          <w:sz w:val="24"/>
          <w:szCs w:val="24"/>
        </w:rPr>
        <w:t>system）</w:t>
      </w:r>
    </w:p>
    <w:p>
      <w:pPr>
        <w:pStyle w:val="26"/>
        <w:spacing w:line="400" w:lineRule="exact"/>
        <w:ind w:firstLine="480"/>
        <w:rPr>
          <w:sz w:val="24"/>
          <w:szCs w:val="24"/>
        </w:rPr>
      </w:pPr>
      <w:r>
        <w:rPr>
          <w:rFonts w:hint="eastAsia"/>
          <w:sz w:val="24"/>
          <w:szCs w:val="24"/>
        </w:rPr>
        <w:t>IDC：互联网数据中心（Internet data center）</w:t>
      </w:r>
    </w:p>
    <w:p>
      <w:pPr>
        <w:pStyle w:val="26"/>
        <w:spacing w:line="400" w:lineRule="exact"/>
        <w:ind w:firstLine="480"/>
        <w:rPr>
          <w:sz w:val="24"/>
          <w:szCs w:val="24"/>
        </w:rPr>
      </w:pPr>
      <w:r>
        <w:rPr>
          <w:rFonts w:hint="eastAsia"/>
          <w:sz w:val="24"/>
          <w:szCs w:val="24"/>
        </w:rPr>
        <w:t>CNAS：</w:t>
      </w:r>
      <w:r>
        <w:rPr>
          <w:sz w:val="24"/>
          <w:szCs w:val="24"/>
        </w:rPr>
        <w:t xml:space="preserve">中国合格评定国家认可委员会（China national accreditation service </w:t>
      </w:r>
      <w:r>
        <w:rPr>
          <w:rFonts w:hint="eastAsia"/>
          <w:sz w:val="24"/>
          <w:szCs w:val="24"/>
        </w:rPr>
        <w:t>f</w:t>
      </w:r>
      <w:r>
        <w:rPr>
          <w:sz w:val="24"/>
          <w:szCs w:val="24"/>
        </w:rPr>
        <w:t>or conformity assessment</w:t>
      </w:r>
      <w:r>
        <w:rPr>
          <w:rFonts w:hint="eastAsia"/>
          <w:sz w:val="24"/>
          <w:szCs w:val="24"/>
        </w:rPr>
        <w:t>）</w:t>
      </w:r>
    </w:p>
    <w:p>
      <w:pPr>
        <w:pStyle w:val="26"/>
        <w:spacing w:line="400" w:lineRule="exact"/>
        <w:ind w:firstLine="480"/>
        <w:rPr>
          <w:sz w:val="24"/>
          <w:szCs w:val="24"/>
        </w:rPr>
      </w:pPr>
      <w:r>
        <w:rPr>
          <w:rFonts w:hint="eastAsia"/>
          <w:sz w:val="24"/>
          <w:szCs w:val="24"/>
        </w:rPr>
        <w:t>CMA：</w:t>
      </w:r>
      <w:r>
        <w:fldChar w:fldCharType="begin"/>
      </w:r>
      <w:r>
        <w:instrText xml:space="preserve"> HYPERLINK "https://baike.baidu.com/item/%E4%B8%AD%E5%9B%BD%E8%AE%A1%E9%87%8F%E8%AE%A4%E8%AF%81" \t "_blank" </w:instrText>
      </w:r>
      <w:r>
        <w:fldChar w:fldCharType="separate"/>
      </w:r>
      <w:r>
        <w:rPr>
          <w:sz w:val="24"/>
          <w:szCs w:val="24"/>
        </w:rPr>
        <w:t>中国计量认证</w:t>
      </w:r>
      <w:r>
        <w:rPr>
          <w:sz w:val="24"/>
          <w:szCs w:val="24"/>
        </w:rPr>
        <w:fldChar w:fldCharType="end"/>
      </w:r>
      <w:r>
        <w:rPr>
          <w:rFonts w:hint="eastAsia"/>
          <w:sz w:val="24"/>
          <w:szCs w:val="24"/>
        </w:rPr>
        <w:t>（</w:t>
      </w:r>
      <w:r>
        <w:rPr>
          <w:sz w:val="24"/>
          <w:szCs w:val="24"/>
        </w:rPr>
        <w:t xml:space="preserve">China inspection body </w:t>
      </w:r>
      <w:r>
        <w:rPr>
          <w:rFonts w:hint="eastAsia"/>
          <w:sz w:val="24"/>
          <w:szCs w:val="24"/>
        </w:rPr>
        <w:t>a</w:t>
      </w:r>
      <w:r>
        <w:rPr>
          <w:sz w:val="24"/>
          <w:szCs w:val="24"/>
        </w:rPr>
        <w:t xml:space="preserve">nd </w:t>
      </w:r>
      <w:r>
        <w:rPr>
          <w:rFonts w:hint="eastAsia"/>
          <w:sz w:val="24"/>
          <w:szCs w:val="24"/>
        </w:rPr>
        <w:t>l</w:t>
      </w:r>
      <w:r>
        <w:rPr>
          <w:sz w:val="24"/>
          <w:szCs w:val="24"/>
        </w:rPr>
        <w:t>aboratory mandatory approval</w:t>
      </w:r>
      <w:r>
        <w:rPr>
          <w:rFonts w:hint="eastAsia"/>
          <w:sz w:val="24"/>
          <w:szCs w:val="24"/>
        </w:rPr>
        <w:t>）</w:t>
      </w:r>
    </w:p>
    <w:p>
      <w:pPr>
        <w:pStyle w:val="26"/>
        <w:spacing w:line="400" w:lineRule="exact"/>
        <w:ind w:firstLine="480"/>
        <w:rPr>
          <w:sz w:val="24"/>
          <w:szCs w:val="24"/>
        </w:rPr>
      </w:pPr>
      <w:r>
        <w:rPr>
          <w:rFonts w:hint="eastAsia"/>
          <w:sz w:val="24"/>
          <w:szCs w:val="24"/>
        </w:rPr>
        <w:t>IT：信息技术（I</w:t>
      </w:r>
      <w:r>
        <w:rPr>
          <w:sz w:val="24"/>
          <w:szCs w:val="24"/>
        </w:rPr>
        <w:t xml:space="preserve">nformation </w:t>
      </w:r>
      <w:r>
        <w:rPr>
          <w:rFonts w:hint="eastAsia"/>
          <w:sz w:val="24"/>
          <w:szCs w:val="24"/>
        </w:rPr>
        <w:t>t</w:t>
      </w:r>
      <w:r>
        <w:rPr>
          <w:sz w:val="24"/>
          <w:szCs w:val="24"/>
        </w:rPr>
        <w:t>echnology</w:t>
      </w:r>
      <w:r>
        <w:rPr>
          <w:rFonts w:hint="eastAsia"/>
          <w:sz w:val="24"/>
          <w:szCs w:val="24"/>
        </w:rPr>
        <w:t>）</w:t>
      </w:r>
    </w:p>
    <w:p>
      <w:pPr>
        <w:pStyle w:val="26"/>
        <w:spacing w:line="400" w:lineRule="exact"/>
        <w:ind w:firstLine="480"/>
        <w:rPr>
          <w:sz w:val="24"/>
          <w:szCs w:val="24"/>
        </w:rPr>
      </w:pPr>
      <w:r>
        <w:rPr>
          <w:sz w:val="24"/>
          <w:szCs w:val="24"/>
        </w:rPr>
        <w:t>SLR</w:t>
      </w:r>
      <w:r>
        <w:rPr>
          <w:rFonts w:hint="eastAsia"/>
          <w:sz w:val="24"/>
          <w:szCs w:val="24"/>
        </w:rPr>
        <w:t>：服务级别要求</w:t>
      </w:r>
      <w:r>
        <w:rPr>
          <w:sz w:val="24"/>
          <w:szCs w:val="24"/>
        </w:rPr>
        <w:t xml:space="preserve"> (Service level requirement)</w:t>
      </w:r>
    </w:p>
    <w:p>
      <w:pPr>
        <w:pStyle w:val="26"/>
        <w:spacing w:line="400" w:lineRule="exact"/>
        <w:ind w:firstLine="480"/>
        <w:rPr>
          <w:sz w:val="24"/>
          <w:szCs w:val="24"/>
        </w:rPr>
      </w:pPr>
      <w:r>
        <w:rPr>
          <w:sz w:val="24"/>
          <w:szCs w:val="24"/>
        </w:rPr>
        <w:t>SL</w:t>
      </w:r>
      <w:r>
        <w:rPr>
          <w:rFonts w:hint="eastAsia"/>
          <w:sz w:val="24"/>
          <w:szCs w:val="24"/>
        </w:rPr>
        <w:t>A：服务级别协议</w:t>
      </w:r>
      <w:r>
        <w:rPr>
          <w:sz w:val="24"/>
          <w:szCs w:val="24"/>
        </w:rPr>
        <w:t xml:space="preserve"> (Service level </w:t>
      </w:r>
      <w:r>
        <w:rPr>
          <w:rFonts w:hint="eastAsia"/>
          <w:sz w:val="24"/>
          <w:szCs w:val="24"/>
        </w:rPr>
        <w:t>a</w:t>
      </w:r>
      <w:r>
        <w:rPr>
          <w:sz w:val="24"/>
          <w:szCs w:val="24"/>
        </w:rPr>
        <w:t>greement)</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5绿色数据中心评价体系框架</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5.1 概述</w:t>
      </w:r>
    </w:p>
    <w:p>
      <w:pPr>
        <w:pStyle w:val="26"/>
        <w:spacing w:line="400" w:lineRule="exact"/>
        <w:ind w:firstLine="480"/>
        <w:rPr>
          <w:sz w:val="24"/>
          <w:szCs w:val="24"/>
        </w:rPr>
      </w:pPr>
      <w:r>
        <w:rPr>
          <w:rFonts w:hint="eastAsia"/>
          <w:sz w:val="24"/>
          <w:szCs w:val="24"/>
        </w:rPr>
        <w:t>绿色数据中心在其全生命周期的建设工作中应融入绿色发展理念，在优化能源资源利用和控制风险时，应充分考虑最少化资源消耗和最小化环境影响的需要。</w:t>
      </w:r>
    </w:p>
    <w:p>
      <w:pPr>
        <w:pStyle w:val="26"/>
        <w:spacing w:line="400" w:lineRule="exact"/>
        <w:ind w:firstLine="480"/>
        <w:rPr>
          <w:sz w:val="24"/>
          <w:szCs w:val="24"/>
        </w:rPr>
      </w:pPr>
      <w:r>
        <w:rPr>
          <w:rFonts w:hint="eastAsia"/>
          <w:sz w:val="24"/>
          <w:szCs w:val="24"/>
        </w:rPr>
        <w:t>绿色数据中心的评价工作应围绕其建设目标开展，应包括以下四个方面：优化能源资源利用、减少环境影响、控制风险和实现业务目标。</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5.2 评价体系框架</w:t>
      </w:r>
    </w:p>
    <w:p>
      <w:pPr>
        <w:pStyle w:val="26"/>
        <w:spacing w:line="400" w:lineRule="exact"/>
        <w:ind w:firstLine="480"/>
        <w:rPr>
          <w:sz w:val="24"/>
          <w:szCs w:val="24"/>
        </w:rPr>
      </w:pPr>
      <w:r>
        <w:rPr>
          <w:rFonts w:hint="eastAsia"/>
          <w:sz w:val="24"/>
          <w:szCs w:val="24"/>
        </w:rPr>
        <w:t>依据《关于加强绿色数据中心建设的指导意见》，绿色数据中心的核心建设内容包括：最少化资源消耗、最小化环境影响、业务目标和相关方管理。依据建设内容的分析与分解，绿色数据中心评价体系框架为两个层级，包括4个一级指标和15个评价内容。评价体系框架见表1。</w:t>
      </w:r>
    </w:p>
    <w:p>
      <w:pPr>
        <w:pStyle w:val="34"/>
        <w:spacing w:before="120" w:after="120"/>
        <w:ind w:left="2977" w:firstLine="720" w:firstLineChars="300"/>
        <w:jc w:val="both"/>
        <w:rPr>
          <w:rFonts w:ascii="Times New Roman"/>
          <w:sz w:val="24"/>
          <w:szCs w:val="24"/>
        </w:rPr>
      </w:pPr>
      <w:r>
        <w:rPr>
          <w:rFonts w:hint="eastAsia" w:ascii="Times New Roman"/>
          <w:sz w:val="24"/>
          <w:szCs w:val="24"/>
        </w:rPr>
        <w:t>表 1 评价体系框架</w:t>
      </w:r>
    </w:p>
    <w:tbl>
      <w:tblPr>
        <w:tblStyle w:val="17"/>
        <w:tblW w:w="6079" w:type="dxa"/>
        <w:jc w:val="center"/>
        <w:tblInd w:w="-457" w:type="dxa"/>
        <w:tblLayout w:type="fixed"/>
        <w:tblCellMar>
          <w:top w:w="0" w:type="dxa"/>
          <w:left w:w="108" w:type="dxa"/>
          <w:bottom w:w="0" w:type="dxa"/>
          <w:right w:w="108" w:type="dxa"/>
        </w:tblCellMar>
      </w:tblPr>
      <w:tblGrid>
        <w:gridCol w:w="951"/>
        <w:gridCol w:w="2297"/>
        <w:gridCol w:w="2831"/>
      </w:tblGrid>
      <w:tr>
        <w:tblPrEx>
          <w:tblLayout w:type="fixed"/>
          <w:tblCellMar>
            <w:top w:w="0" w:type="dxa"/>
            <w:left w:w="108" w:type="dxa"/>
            <w:bottom w:w="0" w:type="dxa"/>
            <w:right w:w="108" w:type="dxa"/>
          </w:tblCellMar>
        </w:tblPrEx>
        <w:trPr>
          <w:trHeight w:val="285"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2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一级指标</w:t>
            </w:r>
          </w:p>
        </w:tc>
        <w:tc>
          <w:tcPr>
            <w:tcW w:w="2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评价内容</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最少化资源消耗</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电能管理</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水资源使用要求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其他资源使用要求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资源循环利用要求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最小化环境影响要求</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清洁能源与可再生能源利用要求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有害物质控制要求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危险废物处置要求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环境影响管理要求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职业健康管理要求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single" w:color="auto" w:sz="4" w:space="0"/>
            </w:tcBorders>
            <w:shd w:val="clear" w:color="auto" w:fill="auto"/>
            <w:vAlign w:val="center"/>
          </w:tcPr>
          <w:p>
            <w:pPr>
              <w:widowControl/>
              <w:jc w:val="center"/>
              <w:rPr>
                <w:rFonts w:asciiTheme="minorEastAsia" w:hAnsiTheme="minorEastAsia" w:eastAsiaTheme="minorEastAsia"/>
                <w:sz w:val="24"/>
              </w:rPr>
            </w:pPr>
          </w:p>
        </w:tc>
        <w:tc>
          <w:tcPr>
            <w:tcW w:w="2297" w:type="dxa"/>
            <w:tcBorders>
              <w:top w:val="single" w:color="auto" w:sz="4" w:space="0"/>
            </w:tcBorders>
            <w:vAlign w:val="center"/>
          </w:tcPr>
          <w:p>
            <w:pPr>
              <w:widowControl/>
              <w:jc w:val="left"/>
              <w:rPr>
                <w:rFonts w:asciiTheme="minorEastAsia" w:hAnsiTheme="minorEastAsia" w:eastAsiaTheme="minorEastAsia"/>
                <w:sz w:val="24"/>
              </w:rPr>
            </w:pPr>
          </w:p>
        </w:tc>
        <w:tc>
          <w:tcPr>
            <w:tcW w:w="2831" w:type="dxa"/>
            <w:tcBorders>
              <w:top w:val="single" w:color="auto" w:sz="4" w:space="0"/>
            </w:tcBorders>
            <w:shd w:val="clear" w:color="auto" w:fill="auto"/>
            <w:vAlign w:val="center"/>
          </w:tcPr>
          <w:p>
            <w:pPr>
              <w:widowControl/>
              <w:jc w:val="left"/>
              <w:rPr>
                <w:rFonts w:asciiTheme="minorEastAsia" w:hAnsiTheme="minorEastAsia" w:eastAsiaTheme="minorEastAsia"/>
                <w:sz w:val="24"/>
              </w:rPr>
            </w:pPr>
          </w:p>
        </w:tc>
      </w:tr>
      <w:tr>
        <w:tblPrEx>
          <w:tblLayout w:type="fixed"/>
          <w:tblCellMar>
            <w:top w:w="0" w:type="dxa"/>
            <w:left w:w="108" w:type="dxa"/>
            <w:bottom w:w="0" w:type="dxa"/>
            <w:right w:w="108" w:type="dxa"/>
          </w:tblCellMar>
        </w:tblPrEx>
        <w:trPr>
          <w:trHeight w:val="285" w:hRule="atLeast"/>
          <w:jc w:val="center"/>
        </w:trPr>
        <w:tc>
          <w:tcPr>
            <w:tcW w:w="6079" w:type="dxa"/>
            <w:gridSpan w:val="3"/>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（接上表）</w:t>
            </w:r>
          </w:p>
        </w:tc>
      </w:tr>
      <w:tr>
        <w:tblPrEx>
          <w:tblLayout w:type="fixed"/>
          <w:tblCellMar>
            <w:top w:w="0" w:type="dxa"/>
            <w:left w:w="108" w:type="dxa"/>
            <w:bottom w:w="0" w:type="dxa"/>
            <w:right w:w="108" w:type="dxa"/>
          </w:tblCellMar>
        </w:tblPrEx>
        <w:trPr>
          <w:trHeight w:val="285" w:hRule="atLeast"/>
          <w:jc w:val="center"/>
        </w:trPr>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2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一级指标</w:t>
            </w:r>
          </w:p>
        </w:tc>
        <w:tc>
          <w:tcPr>
            <w:tcW w:w="28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评价内容</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10</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业务能力目标要求</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asciiTheme="minorEastAsia" w:hAnsiTheme="minorEastAsia" w:eastAsiaTheme="minorEastAsia"/>
                <w:sz w:val="24"/>
              </w:rPr>
              <w:t>业务连续性要求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11</w:t>
            </w:r>
          </w:p>
        </w:tc>
        <w:tc>
          <w:tcPr>
            <w:tcW w:w="229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电力供应能力要求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12</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IT设备运行环境要求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13</w:t>
            </w:r>
          </w:p>
        </w:tc>
        <w:tc>
          <w:tcPr>
            <w:tcW w:w="22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相关方管理要求</w:t>
            </w: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供方管理要求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14</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客户及其他相关方管理要求</w:t>
            </w:r>
          </w:p>
        </w:tc>
      </w:tr>
      <w:tr>
        <w:tblPrEx>
          <w:tblLayout w:type="fixed"/>
          <w:tblCellMar>
            <w:top w:w="0" w:type="dxa"/>
            <w:left w:w="108" w:type="dxa"/>
            <w:bottom w:w="0" w:type="dxa"/>
            <w:right w:w="108" w:type="dxa"/>
          </w:tblCellMar>
        </w:tblPrEx>
        <w:trPr>
          <w:trHeight w:val="285" w:hRule="atLeast"/>
          <w:jc w:val="center"/>
        </w:trPr>
        <w:tc>
          <w:tcPr>
            <w:tcW w:w="9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15</w:t>
            </w:r>
          </w:p>
        </w:tc>
        <w:tc>
          <w:tcPr>
            <w:tcW w:w="2297"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 w:val="24"/>
              </w:rPr>
            </w:pPr>
          </w:p>
        </w:tc>
        <w:tc>
          <w:tcPr>
            <w:tcW w:w="2831"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sz w:val="24"/>
              </w:rPr>
            </w:pPr>
            <w:r>
              <w:rPr>
                <w:rFonts w:hint="eastAsia" w:asciiTheme="minorEastAsia" w:hAnsiTheme="minorEastAsia" w:eastAsiaTheme="minorEastAsia"/>
                <w:sz w:val="24"/>
              </w:rPr>
              <w:t>第三方服务管理要求</w:t>
            </w:r>
          </w:p>
        </w:tc>
      </w:tr>
    </w:tbl>
    <w:p>
      <w:pPr>
        <w:pStyle w:val="26"/>
        <w:spacing w:line="400" w:lineRule="exact"/>
        <w:ind w:firstLine="480"/>
        <w:rPr>
          <w:sz w:val="24"/>
          <w:szCs w:val="24"/>
        </w:rPr>
      </w:pP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5.3 评价体系构成</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5.3.1最少化资源消耗</w:t>
      </w:r>
    </w:p>
    <w:p>
      <w:pPr>
        <w:pStyle w:val="26"/>
        <w:spacing w:line="400" w:lineRule="exact"/>
        <w:ind w:firstLine="480"/>
        <w:rPr>
          <w:sz w:val="24"/>
          <w:szCs w:val="24"/>
        </w:rPr>
      </w:pPr>
      <w:r>
        <w:rPr>
          <w:rFonts w:hint="eastAsia"/>
          <w:sz w:val="24"/>
          <w:szCs w:val="24"/>
        </w:rPr>
        <w:t>数据中心的运行会消耗大量资源，包括能源、水资源及其他各类资源和消耗材料。绿色数据中心应建立相应制度、采取必要措施，对各类资源的使用进行计量、分析，识别减少资源消耗的机会，应用必要的技术，采取必要的措施，持续优化资源结构，减少资源消耗。</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5.3.2 最小化环境影响</w:t>
      </w:r>
    </w:p>
    <w:p>
      <w:pPr>
        <w:pStyle w:val="26"/>
        <w:spacing w:line="400" w:lineRule="exact"/>
        <w:ind w:firstLine="480"/>
        <w:rPr>
          <w:rFonts w:ascii="Times New Roman"/>
          <w:sz w:val="24"/>
          <w:szCs w:val="24"/>
        </w:rPr>
      </w:pPr>
      <w:r>
        <w:rPr>
          <w:rFonts w:hint="eastAsia" w:ascii="Times New Roman"/>
          <w:sz w:val="24"/>
          <w:szCs w:val="24"/>
        </w:rPr>
        <w:t>绿色数据中心应建立相应制度识别环境影响因素，应用必要的技术，采取必要措施，持续减少对外部环境的不利影响。</w:t>
      </w:r>
    </w:p>
    <w:p>
      <w:pPr>
        <w:pStyle w:val="26"/>
        <w:spacing w:line="400" w:lineRule="exact"/>
        <w:ind w:firstLine="480"/>
        <w:rPr>
          <w:rFonts w:ascii="Times New Roman"/>
          <w:sz w:val="24"/>
          <w:szCs w:val="24"/>
        </w:rPr>
      </w:pPr>
      <w:r>
        <w:rPr>
          <w:rFonts w:hint="eastAsia" w:ascii="Times New Roman"/>
          <w:sz w:val="24"/>
          <w:szCs w:val="24"/>
        </w:rPr>
        <w:t>绿色数据中心应建立相应制度识别危险源，采取必要措施，应用必要的技术，确保内部环境的安全，保障员工和访客的职业健康安全。</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5.3.3 业务目标</w:t>
      </w:r>
    </w:p>
    <w:p>
      <w:pPr>
        <w:pStyle w:val="26"/>
        <w:spacing w:line="400" w:lineRule="exact"/>
        <w:ind w:firstLine="480"/>
        <w:rPr>
          <w:sz w:val="24"/>
          <w:szCs w:val="24"/>
        </w:rPr>
      </w:pPr>
      <w:r>
        <w:rPr>
          <w:rFonts w:hint="eastAsia"/>
          <w:sz w:val="24"/>
          <w:szCs w:val="24"/>
        </w:rPr>
        <w:t>数据中心应为IT系统的正常运行提供稳定的电力供应和运行环境。其提供的电力供应和运行环境应满足GB/T 2887、GB 51314的要求和客户SLR的要求，达到SLA所约定的水平。</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5.3.4 相关方管理</w:t>
      </w:r>
    </w:p>
    <w:p>
      <w:pPr>
        <w:pStyle w:val="26"/>
        <w:spacing w:line="400" w:lineRule="exact"/>
        <w:ind w:firstLine="480"/>
        <w:rPr>
          <w:sz w:val="24"/>
          <w:szCs w:val="24"/>
        </w:rPr>
      </w:pPr>
      <w:r>
        <w:rPr>
          <w:rFonts w:hint="eastAsia"/>
          <w:sz w:val="24"/>
          <w:szCs w:val="24"/>
        </w:rPr>
        <w:t>绿色数据中心可充分利用第三方资源，提升自身的绿色水平，同时也要对其他相关方进行有效管理或施加影响，确保绿色目标的实现。</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6最少化资源消耗要求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6.1 电能管理</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6.1.1 一般要求</w:t>
      </w:r>
    </w:p>
    <w:p>
      <w:pPr>
        <w:pStyle w:val="26"/>
        <w:spacing w:line="400" w:lineRule="exact"/>
        <w:ind w:firstLine="480"/>
        <w:rPr>
          <w:sz w:val="24"/>
          <w:szCs w:val="24"/>
        </w:rPr>
      </w:pPr>
      <w:r>
        <w:rPr>
          <w:rFonts w:hint="eastAsia"/>
          <w:sz w:val="24"/>
          <w:szCs w:val="24"/>
        </w:rPr>
        <w:t>数据中心运行过程中主要消耗的能源形式为电能。数据中心所消耗的电能来源既包括公共电网，也包括数据中心自身或者合作伙伴使用其他一次能源的能源转换。绿色数据中心的运行维护应对能源进行有效管理，提高电能利用的效率。</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6.1.2 能源管理制度要求</w:t>
      </w:r>
    </w:p>
    <w:p>
      <w:pPr>
        <w:pStyle w:val="26"/>
        <w:spacing w:line="400" w:lineRule="exact"/>
        <w:ind w:firstLine="480"/>
        <w:rPr>
          <w:sz w:val="24"/>
          <w:szCs w:val="24"/>
        </w:rPr>
      </w:pPr>
      <w:r>
        <w:rPr>
          <w:rFonts w:hint="eastAsia"/>
          <w:sz w:val="24"/>
          <w:szCs w:val="24"/>
        </w:rPr>
        <w:t>能源管理制度是指数据中心在运行过程中针对能源管理制定的管理制度和运维措施。能源管理制度至少包括：能源统计和分析、运行管理、宣传和培训三方面内容。数据中心宜按照GB/T 23331的要求建立和保持一个全面的能源管理体系。</w:t>
      </w:r>
    </w:p>
    <w:p>
      <w:pPr>
        <w:pStyle w:val="35"/>
        <w:spacing w:line="400" w:lineRule="exact"/>
        <w:rPr>
          <w:rFonts w:ascii="Times New Roman"/>
          <w:sz w:val="24"/>
          <w:szCs w:val="24"/>
        </w:rPr>
      </w:pPr>
      <w:r>
        <w:rPr>
          <w:rFonts w:hint="eastAsia" w:ascii="Times New Roman"/>
          <w:sz w:val="24"/>
          <w:szCs w:val="24"/>
        </w:rPr>
        <w:t>能源统计和分析</w:t>
      </w:r>
    </w:p>
    <w:p>
      <w:pPr>
        <w:pStyle w:val="36"/>
        <w:tabs>
          <w:tab w:val="clear" w:pos="840"/>
        </w:tabs>
        <w:spacing w:line="400" w:lineRule="exact"/>
        <w:rPr>
          <w:sz w:val="24"/>
          <w:szCs w:val="24"/>
        </w:rPr>
      </w:pPr>
      <w:r>
        <w:rPr>
          <w:rFonts w:hint="eastAsia"/>
          <w:sz w:val="24"/>
          <w:szCs w:val="24"/>
        </w:rPr>
        <w:t>应对电能使用进行分项计量，满足GB/T 32910.3-2016要求；</w:t>
      </w:r>
    </w:p>
    <w:p>
      <w:pPr>
        <w:pStyle w:val="36"/>
        <w:tabs>
          <w:tab w:val="clear" w:pos="840"/>
        </w:tabs>
        <w:spacing w:line="400" w:lineRule="exact"/>
        <w:rPr>
          <w:sz w:val="24"/>
          <w:szCs w:val="24"/>
        </w:rPr>
      </w:pPr>
      <w:r>
        <w:rPr>
          <w:rFonts w:hint="eastAsia"/>
          <w:sz w:val="24"/>
          <w:szCs w:val="24"/>
        </w:rPr>
        <w:t>应制定能源资源消费统计制度，有明确的责任人和实施方案，能够有效实施，并按要求向主管部门报送数据；</w:t>
      </w:r>
    </w:p>
    <w:p>
      <w:pPr>
        <w:pStyle w:val="36"/>
        <w:tabs>
          <w:tab w:val="clear" w:pos="840"/>
        </w:tabs>
        <w:spacing w:line="400" w:lineRule="exact"/>
        <w:rPr>
          <w:sz w:val="24"/>
          <w:szCs w:val="24"/>
        </w:rPr>
      </w:pPr>
      <w:r>
        <w:rPr>
          <w:rFonts w:hint="eastAsia"/>
          <w:sz w:val="24"/>
          <w:szCs w:val="24"/>
        </w:rPr>
        <w:t>应对能耗进行分析，发现节能潜力、提出问题和改进措施，并形成报告；</w:t>
      </w:r>
    </w:p>
    <w:p>
      <w:pPr>
        <w:pStyle w:val="36"/>
        <w:tabs>
          <w:tab w:val="clear" w:pos="840"/>
        </w:tabs>
        <w:spacing w:line="400" w:lineRule="exact"/>
        <w:rPr>
          <w:sz w:val="24"/>
          <w:szCs w:val="24"/>
        </w:rPr>
      </w:pPr>
      <w:r>
        <w:rPr>
          <w:rFonts w:hint="eastAsia"/>
          <w:sz w:val="24"/>
          <w:szCs w:val="24"/>
        </w:rPr>
        <w:t>应定期公示能耗情况。</w:t>
      </w:r>
    </w:p>
    <w:p>
      <w:pPr>
        <w:pStyle w:val="35"/>
        <w:spacing w:line="400" w:lineRule="exact"/>
        <w:rPr>
          <w:rFonts w:ascii="Times New Roman"/>
          <w:sz w:val="24"/>
          <w:szCs w:val="24"/>
        </w:rPr>
      </w:pPr>
      <w:r>
        <w:rPr>
          <w:rFonts w:hint="eastAsia" w:ascii="Times New Roman"/>
          <w:sz w:val="24"/>
          <w:szCs w:val="24"/>
        </w:rPr>
        <w:t>运行管理</w:t>
      </w:r>
    </w:p>
    <w:p>
      <w:pPr>
        <w:pStyle w:val="36"/>
        <w:tabs>
          <w:tab w:val="clear" w:pos="840"/>
        </w:tabs>
        <w:spacing w:line="400" w:lineRule="exact"/>
        <w:rPr>
          <w:sz w:val="24"/>
          <w:szCs w:val="24"/>
        </w:rPr>
      </w:pPr>
      <w:r>
        <w:rPr>
          <w:rFonts w:hint="eastAsia"/>
          <w:sz w:val="24"/>
          <w:szCs w:val="24"/>
        </w:rPr>
        <w:t>应对重点用能设备和系统的运行情况和能耗情况进行实时在线监控；</w:t>
      </w:r>
    </w:p>
    <w:p>
      <w:pPr>
        <w:pStyle w:val="36"/>
        <w:tabs>
          <w:tab w:val="clear" w:pos="840"/>
        </w:tabs>
        <w:spacing w:line="400" w:lineRule="exact"/>
        <w:rPr>
          <w:sz w:val="24"/>
          <w:szCs w:val="24"/>
        </w:rPr>
      </w:pPr>
      <w:r>
        <w:rPr>
          <w:rFonts w:hint="eastAsia"/>
          <w:sz w:val="24"/>
          <w:szCs w:val="24"/>
        </w:rPr>
        <w:t>应保持完整的巡视检查、维护保养记录；</w:t>
      </w:r>
    </w:p>
    <w:p>
      <w:pPr>
        <w:pStyle w:val="36"/>
        <w:tabs>
          <w:tab w:val="clear" w:pos="840"/>
        </w:tabs>
        <w:spacing w:line="400" w:lineRule="exact"/>
        <w:rPr>
          <w:sz w:val="24"/>
          <w:szCs w:val="24"/>
        </w:rPr>
      </w:pPr>
      <w:r>
        <w:rPr>
          <w:rFonts w:hint="eastAsia"/>
          <w:sz w:val="24"/>
          <w:szCs w:val="24"/>
        </w:rPr>
        <w:t>应针对季节变化、用能量变化及其他关键因素的变化，结合设备系统运行特点，对关键系统的运行方式进行优化调整，形成方案并落实；</w:t>
      </w:r>
    </w:p>
    <w:p>
      <w:pPr>
        <w:pStyle w:val="36"/>
        <w:tabs>
          <w:tab w:val="clear" w:pos="840"/>
        </w:tabs>
        <w:spacing w:line="400" w:lineRule="exact"/>
        <w:rPr>
          <w:sz w:val="24"/>
          <w:szCs w:val="24"/>
        </w:rPr>
      </w:pPr>
      <w:r>
        <w:rPr>
          <w:rFonts w:hint="eastAsia"/>
          <w:sz w:val="24"/>
          <w:szCs w:val="24"/>
        </w:rPr>
        <w:t>有完整的图纸，并能够伴随改造、变更的实施，及时更新；</w:t>
      </w:r>
    </w:p>
    <w:p>
      <w:pPr>
        <w:pStyle w:val="36"/>
        <w:tabs>
          <w:tab w:val="clear" w:pos="840"/>
        </w:tabs>
        <w:spacing w:line="400" w:lineRule="exact"/>
        <w:rPr>
          <w:sz w:val="24"/>
          <w:szCs w:val="24"/>
        </w:rPr>
      </w:pPr>
      <w:r>
        <w:rPr>
          <w:rFonts w:hint="eastAsia"/>
          <w:sz w:val="24"/>
          <w:szCs w:val="24"/>
        </w:rPr>
        <w:t>有完整的设备台账、档案；</w:t>
      </w:r>
    </w:p>
    <w:p>
      <w:pPr>
        <w:pStyle w:val="36"/>
        <w:tabs>
          <w:tab w:val="clear" w:pos="840"/>
        </w:tabs>
        <w:spacing w:line="400" w:lineRule="exact"/>
        <w:rPr>
          <w:sz w:val="24"/>
          <w:szCs w:val="24"/>
        </w:rPr>
      </w:pPr>
      <w:r>
        <w:rPr>
          <w:rFonts w:hint="eastAsia"/>
          <w:sz w:val="24"/>
          <w:szCs w:val="24"/>
        </w:rPr>
        <w:t>有明确到人的节能管理和技术团队，有明确的节能策略和节能工作目标责任制。</w:t>
      </w:r>
    </w:p>
    <w:p>
      <w:pPr>
        <w:pStyle w:val="35"/>
        <w:spacing w:line="400" w:lineRule="exact"/>
        <w:rPr>
          <w:rFonts w:ascii="Times New Roman"/>
          <w:sz w:val="24"/>
          <w:szCs w:val="24"/>
        </w:rPr>
      </w:pPr>
      <w:r>
        <w:rPr>
          <w:rFonts w:hint="eastAsia" w:ascii="Times New Roman"/>
          <w:sz w:val="24"/>
          <w:szCs w:val="24"/>
        </w:rPr>
        <w:t>宣传和培训</w:t>
      </w:r>
    </w:p>
    <w:p>
      <w:pPr>
        <w:pStyle w:val="36"/>
        <w:tabs>
          <w:tab w:val="clear" w:pos="840"/>
        </w:tabs>
        <w:spacing w:line="400" w:lineRule="exact"/>
        <w:rPr>
          <w:sz w:val="24"/>
          <w:szCs w:val="24"/>
        </w:rPr>
      </w:pPr>
      <w:r>
        <w:rPr>
          <w:rFonts w:hint="eastAsia"/>
          <w:sz w:val="24"/>
          <w:szCs w:val="24"/>
        </w:rPr>
        <w:t>应定期进行节能理念宣传；</w:t>
      </w:r>
    </w:p>
    <w:p>
      <w:pPr>
        <w:pStyle w:val="36"/>
        <w:tabs>
          <w:tab w:val="clear" w:pos="840"/>
        </w:tabs>
        <w:spacing w:line="400" w:lineRule="exact"/>
        <w:rPr>
          <w:sz w:val="24"/>
          <w:szCs w:val="24"/>
        </w:rPr>
      </w:pPr>
      <w:r>
        <w:rPr>
          <w:rFonts w:hint="eastAsia"/>
          <w:sz w:val="24"/>
          <w:szCs w:val="24"/>
        </w:rPr>
        <w:t>应定期进行节能技术培训。</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6.1.3 电能使用效率要求（EEUE或PUE）</w:t>
      </w:r>
    </w:p>
    <w:p>
      <w:pPr>
        <w:pStyle w:val="35"/>
        <w:numPr>
          <w:ilvl w:val="0"/>
          <w:numId w:val="3"/>
        </w:numPr>
        <w:spacing w:line="400" w:lineRule="exact"/>
        <w:ind w:left="840" w:hanging="420"/>
        <w:rPr>
          <w:rFonts w:ascii="Times New Roman"/>
          <w:sz w:val="24"/>
          <w:szCs w:val="24"/>
        </w:rPr>
      </w:pPr>
      <w:r>
        <w:rPr>
          <w:rFonts w:hint="eastAsia" w:ascii="Times New Roman"/>
          <w:sz w:val="24"/>
          <w:szCs w:val="24"/>
        </w:rPr>
        <w:t>数据中心应按照GB/T 32910.3-2016中7.2的要求选择能耗测量装置；</w:t>
      </w:r>
    </w:p>
    <w:p>
      <w:pPr>
        <w:pStyle w:val="35"/>
        <w:numPr>
          <w:ilvl w:val="0"/>
          <w:numId w:val="3"/>
        </w:numPr>
        <w:spacing w:line="400" w:lineRule="exact"/>
        <w:ind w:left="840" w:hanging="420"/>
        <w:rPr>
          <w:rFonts w:ascii="Times New Roman"/>
          <w:sz w:val="24"/>
          <w:szCs w:val="24"/>
        </w:rPr>
      </w:pPr>
      <w:r>
        <w:rPr>
          <w:rFonts w:hint="eastAsia" w:ascii="Times New Roman"/>
          <w:sz w:val="24"/>
          <w:szCs w:val="24"/>
        </w:rPr>
        <w:t>数据中心应按照GB/T 32910.3-2016中7.3的要求设置能耗测量装置，且信息设备、空调系统、供配电系统和照明系统等各系统能耗应进行独立分项计量；</w:t>
      </w:r>
    </w:p>
    <w:p>
      <w:pPr>
        <w:pStyle w:val="35"/>
        <w:numPr>
          <w:ilvl w:val="0"/>
          <w:numId w:val="3"/>
        </w:numPr>
        <w:spacing w:line="400" w:lineRule="exact"/>
        <w:ind w:left="840" w:hanging="420"/>
        <w:rPr>
          <w:rFonts w:ascii="Times New Roman"/>
          <w:sz w:val="24"/>
          <w:szCs w:val="24"/>
        </w:rPr>
      </w:pPr>
      <w:r>
        <w:rPr>
          <w:rFonts w:hint="eastAsia" w:ascii="Times New Roman"/>
          <w:sz w:val="24"/>
          <w:szCs w:val="24"/>
        </w:rPr>
        <w:t>数据中心能耗测量条件应符合GB/T 32910.3-2016中7.4的要求；</w:t>
      </w:r>
    </w:p>
    <w:p>
      <w:pPr>
        <w:pStyle w:val="35"/>
        <w:numPr>
          <w:ilvl w:val="0"/>
          <w:numId w:val="3"/>
        </w:numPr>
        <w:spacing w:line="400" w:lineRule="exact"/>
        <w:ind w:left="840" w:hanging="420"/>
        <w:rPr>
          <w:rFonts w:ascii="Times New Roman"/>
          <w:sz w:val="24"/>
          <w:szCs w:val="24"/>
        </w:rPr>
      </w:pPr>
      <w:r>
        <w:rPr>
          <w:rFonts w:hint="eastAsia" w:ascii="Times New Roman"/>
          <w:sz w:val="24"/>
          <w:szCs w:val="24"/>
        </w:rPr>
        <w:t>数据中心EEUE</w:t>
      </w:r>
      <w:r>
        <w:rPr>
          <w:rFonts w:hint="eastAsia" w:ascii="Times New Roman"/>
          <w:sz w:val="24"/>
          <w:szCs w:val="24"/>
          <w:vertAlign w:val="subscript"/>
        </w:rPr>
        <w:t>实测值</w:t>
      </w:r>
      <w:r>
        <w:rPr>
          <w:rFonts w:hint="eastAsia" w:ascii="Times New Roman"/>
          <w:sz w:val="24"/>
          <w:szCs w:val="24"/>
        </w:rPr>
        <w:t>和EEUE</w:t>
      </w:r>
      <w:r>
        <w:rPr>
          <w:rFonts w:hint="eastAsia" w:ascii="Times New Roman"/>
          <w:sz w:val="24"/>
          <w:szCs w:val="24"/>
          <w:vertAlign w:val="subscript"/>
        </w:rPr>
        <w:t>修正值</w:t>
      </w:r>
      <w:r>
        <w:rPr>
          <w:rFonts w:hint="eastAsia" w:ascii="Times New Roman"/>
          <w:sz w:val="24"/>
          <w:szCs w:val="24"/>
        </w:rPr>
        <w:t>的计算应符合GB/T 32910.3-2016中第8章的要求。</w:t>
      </w:r>
    </w:p>
    <w:p>
      <w:pPr>
        <w:pStyle w:val="35"/>
        <w:numPr>
          <w:ilvl w:val="0"/>
          <w:numId w:val="0"/>
        </w:numPr>
        <w:rPr>
          <w:rFonts w:ascii="黑体" w:hAnsi="黑体" w:eastAsia="黑体"/>
          <w:szCs w:val="24"/>
        </w:rPr>
      </w:pPr>
      <w:r>
        <w:rPr>
          <w:rFonts w:hint="eastAsia" w:ascii="黑体" w:hAnsi="黑体" w:eastAsia="黑体"/>
          <w:szCs w:val="24"/>
        </w:rPr>
        <w:t>注：数据中心电能使用效率以PUE计算时，应采用PUE年度值，测量点应按照6.1.3的要求。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6.1.4 节能措施要求</w:t>
      </w:r>
    </w:p>
    <w:p>
      <w:pPr>
        <w:pStyle w:val="35"/>
        <w:numPr>
          <w:ilvl w:val="0"/>
          <w:numId w:val="4"/>
        </w:numPr>
        <w:spacing w:line="400" w:lineRule="exact"/>
        <w:ind w:hanging="420"/>
        <w:rPr>
          <w:rFonts w:ascii="Times New Roman"/>
          <w:sz w:val="24"/>
          <w:szCs w:val="24"/>
        </w:rPr>
      </w:pPr>
      <w:r>
        <w:rPr>
          <w:rFonts w:hint="eastAsia" w:ascii="Times New Roman"/>
          <w:sz w:val="24"/>
          <w:szCs w:val="24"/>
        </w:rPr>
        <w:t>机房环境系统节能</w:t>
      </w:r>
    </w:p>
    <w:p>
      <w:pPr>
        <w:pStyle w:val="36"/>
        <w:spacing w:line="400" w:lineRule="exact"/>
        <w:ind w:hanging="420"/>
        <w:rPr>
          <w:sz w:val="24"/>
          <w:szCs w:val="24"/>
        </w:rPr>
      </w:pPr>
      <w:r>
        <w:rPr>
          <w:rFonts w:hint="eastAsia"/>
          <w:sz w:val="24"/>
          <w:szCs w:val="24"/>
        </w:rPr>
        <w:t>冷源系统：利用自然冷源或可再生能源、外部废热余热等进行供冷；选用高效冷源和输送设备，根据负荷进行变频调速控制；提升冷冻水温度，加大供回水温差；提高送风温度，加大送回风温差；通过技术经济比较设置数据中心内部余热回收，提高能源的综合利用率。</w:t>
      </w:r>
    </w:p>
    <w:p>
      <w:pPr>
        <w:pStyle w:val="36"/>
        <w:spacing w:line="400" w:lineRule="exact"/>
        <w:ind w:hanging="420"/>
        <w:rPr>
          <w:sz w:val="24"/>
          <w:szCs w:val="24"/>
        </w:rPr>
      </w:pPr>
      <w:r>
        <w:rPr>
          <w:rFonts w:hint="eastAsia"/>
          <w:sz w:val="24"/>
          <w:szCs w:val="24"/>
        </w:rPr>
        <w:t>末端系统：主机房末端靠近热源，近端制冷（如：背板、前板、列间、顶置空调、机架式等）；机房空调变风量运行；采用高效除湿方式等。</w:t>
      </w:r>
    </w:p>
    <w:p>
      <w:pPr>
        <w:pStyle w:val="36"/>
        <w:spacing w:line="400" w:lineRule="exact"/>
        <w:ind w:hanging="420"/>
        <w:rPr>
          <w:sz w:val="24"/>
          <w:szCs w:val="24"/>
        </w:rPr>
      </w:pPr>
      <w:r>
        <w:rPr>
          <w:rFonts w:hint="eastAsia"/>
          <w:sz w:val="24"/>
          <w:szCs w:val="24"/>
        </w:rPr>
        <w:t>气流组织：送回风气流顺畅，气流组织采用冷热隔离措施等。</w:t>
      </w:r>
    </w:p>
    <w:p>
      <w:pPr>
        <w:pStyle w:val="35"/>
        <w:numPr>
          <w:ilvl w:val="0"/>
          <w:numId w:val="4"/>
        </w:numPr>
        <w:spacing w:line="400" w:lineRule="exact"/>
        <w:ind w:hanging="420"/>
        <w:rPr>
          <w:rFonts w:ascii="Times New Roman"/>
          <w:sz w:val="24"/>
          <w:szCs w:val="24"/>
        </w:rPr>
      </w:pPr>
      <w:r>
        <w:rPr>
          <w:rFonts w:hint="eastAsia" w:ascii="Times New Roman"/>
          <w:sz w:val="24"/>
          <w:szCs w:val="24"/>
        </w:rPr>
        <w:t>供配电系统节能：应采取措施提高电能转换的效率和电能输送的效率。</w:t>
      </w:r>
    </w:p>
    <w:p>
      <w:pPr>
        <w:pStyle w:val="35"/>
        <w:numPr>
          <w:ilvl w:val="0"/>
          <w:numId w:val="4"/>
        </w:numPr>
        <w:spacing w:line="400" w:lineRule="exact"/>
        <w:ind w:hanging="420"/>
        <w:rPr>
          <w:rFonts w:ascii="Times New Roman"/>
          <w:sz w:val="24"/>
          <w:szCs w:val="24"/>
        </w:rPr>
      </w:pPr>
      <w:r>
        <w:rPr>
          <w:rFonts w:hint="eastAsia" w:ascii="Times New Roman"/>
          <w:sz w:val="24"/>
          <w:szCs w:val="24"/>
        </w:rPr>
        <w:t>信息系统节能：应在物理资源（网络、服务器、存储等）、虚拟资源（网络资源、计算资源、存储资源等）、平台资源（操作系统、数据库、中间件等）、应用（业务应用系统）等不同层次，采取对应的节能技术和节能措施，应用对应的节能产品和服务。对自用的信息系统（如智能化系统、OA系统等）应满足本项要求；对由内部相关方（如独立的IT部门）或外部相关方（如客户、运营商）控制的信息系统，应对该相关方的信息系统满足本项要求施加影响。</w:t>
      </w:r>
    </w:p>
    <w:p>
      <w:pPr>
        <w:pStyle w:val="35"/>
        <w:numPr>
          <w:ilvl w:val="0"/>
          <w:numId w:val="4"/>
        </w:numPr>
        <w:spacing w:line="400" w:lineRule="exact"/>
        <w:ind w:hanging="420"/>
        <w:rPr>
          <w:rFonts w:ascii="Times New Roman"/>
          <w:sz w:val="24"/>
          <w:szCs w:val="24"/>
        </w:rPr>
      </w:pPr>
      <w:r>
        <w:rPr>
          <w:rFonts w:hint="eastAsia" w:ascii="Times New Roman"/>
          <w:sz w:val="24"/>
          <w:szCs w:val="24"/>
        </w:rPr>
        <w:t>照明系统节能：应优选节能光源并进行智能控制。</w:t>
      </w:r>
    </w:p>
    <w:p>
      <w:pPr>
        <w:pStyle w:val="35"/>
        <w:numPr>
          <w:ilvl w:val="0"/>
          <w:numId w:val="4"/>
        </w:numPr>
        <w:spacing w:line="400" w:lineRule="exact"/>
        <w:ind w:hanging="420"/>
        <w:rPr>
          <w:rFonts w:ascii="Times New Roman"/>
          <w:sz w:val="24"/>
          <w:szCs w:val="24"/>
        </w:rPr>
      </w:pPr>
      <w:r>
        <w:rPr>
          <w:rFonts w:hint="eastAsia" w:ascii="Times New Roman"/>
          <w:sz w:val="24"/>
          <w:szCs w:val="24"/>
        </w:rPr>
        <w:t>围护系统节能：节能措施至少包括选择合适的机房朝向、做好机房保温、避免设置机房外窗等几个方面。</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6.2 水资源使用要求</w:t>
      </w:r>
    </w:p>
    <w:p>
      <w:pPr>
        <w:pStyle w:val="26"/>
        <w:spacing w:line="400" w:lineRule="exact"/>
        <w:ind w:firstLine="480"/>
        <w:rPr>
          <w:sz w:val="24"/>
          <w:szCs w:val="24"/>
        </w:rPr>
      </w:pPr>
      <w:r>
        <w:rPr>
          <w:rFonts w:hint="eastAsia"/>
          <w:sz w:val="24"/>
          <w:szCs w:val="24"/>
        </w:rPr>
        <w:t>绿色数据中心宜根据用途选择使用非传统水源，应建立节约用水的制度，使用节水器具，加强用水设备的日常维护,并应对不同水源、不同用途进行水资源分项计量。</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6.3 其他资源使用要求</w:t>
      </w:r>
    </w:p>
    <w:p>
      <w:pPr>
        <w:pStyle w:val="26"/>
        <w:spacing w:line="400" w:lineRule="exact"/>
        <w:ind w:firstLine="480"/>
        <w:rPr>
          <w:sz w:val="24"/>
          <w:szCs w:val="24"/>
        </w:rPr>
      </w:pPr>
      <w:r>
        <w:rPr>
          <w:rFonts w:hint="eastAsia"/>
          <w:sz w:val="24"/>
          <w:szCs w:val="24"/>
        </w:rPr>
        <w:t>绿色数据中心应对其使用的其他资源（例如柴油、天然气、机油及其他消耗品等）进行有效识别，并对有节约价值的资源，进行有效管理。</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6.4 资源循环利用要求</w:t>
      </w:r>
    </w:p>
    <w:p>
      <w:pPr>
        <w:pStyle w:val="26"/>
        <w:spacing w:line="400" w:lineRule="exact"/>
        <w:ind w:firstLine="480"/>
        <w:rPr>
          <w:sz w:val="24"/>
          <w:szCs w:val="24"/>
        </w:rPr>
      </w:pPr>
      <w:r>
        <w:rPr>
          <w:rFonts w:hint="eastAsia"/>
          <w:sz w:val="24"/>
          <w:szCs w:val="24"/>
        </w:rPr>
        <w:t>绿色数据中心应对有再利用价值的废弃设备采取再利用措施，包括自我利用和委托具有回收处理资质的企业回收利用。</w:t>
      </w:r>
    </w:p>
    <w:p>
      <w:pPr>
        <w:pStyle w:val="26"/>
        <w:spacing w:line="400" w:lineRule="exact"/>
        <w:ind w:firstLine="480"/>
        <w:rPr>
          <w:sz w:val="24"/>
          <w:szCs w:val="24"/>
        </w:rPr>
      </w:pPr>
      <w:r>
        <w:rPr>
          <w:rFonts w:hint="eastAsia"/>
          <w:sz w:val="24"/>
          <w:szCs w:val="24"/>
        </w:rPr>
        <w:t>绿色数据中心应识别不同场景，对有回收再利用价值的资源（例如余热等）进行回收再利用。</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7最小化环境影响要求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7.1 清洁能源与可再生能源利用要求</w:t>
      </w:r>
    </w:p>
    <w:p>
      <w:pPr>
        <w:pStyle w:val="26"/>
        <w:spacing w:line="400" w:lineRule="exact"/>
        <w:ind w:firstLine="480"/>
        <w:rPr>
          <w:sz w:val="24"/>
          <w:szCs w:val="24"/>
        </w:rPr>
      </w:pPr>
      <w:r>
        <w:rPr>
          <w:rFonts w:hint="eastAsia"/>
          <w:sz w:val="24"/>
          <w:szCs w:val="24"/>
        </w:rPr>
        <w:t>绿色数据中心宜识别不同场景在自有场所建立清洁能源和可再生能源利用系统，或通过与售电公司开展绿色电力交易等方式实现高比例可再生能源应用。</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7.2 有害物质控制要求</w:t>
      </w:r>
    </w:p>
    <w:p>
      <w:pPr>
        <w:pStyle w:val="26"/>
        <w:spacing w:line="400" w:lineRule="exact"/>
        <w:ind w:firstLine="480"/>
        <w:rPr>
          <w:sz w:val="24"/>
          <w:szCs w:val="24"/>
        </w:rPr>
      </w:pPr>
      <w:r>
        <w:rPr>
          <w:rFonts w:hint="eastAsia"/>
          <w:sz w:val="24"/>
          <w:szCs w:val="24"/>
        </w:rPr>
        <w:t>绿色数据中心中使用的电子电气产品应符合《电器电子产品有害物质限制使用管理办法》规定和符合GB/T 26572的相关要求。</w:t>
      </w:r>
    </w:p>
    <w:p>
      <w:pPr>
        <w:pStyle w:val="35"/>
        <w:numPr>
          <w:ilvl w:val="0"/>
          <w:numId w:val="0"/>
        </w:numPr>
        <w:rPr>
          <w:rFonts w:ascii="黑体" w:hAnsi="黑体" w:eastAsia="黑体"/>
          <w:szCs w:val="24"/>
        </w:rPr>
      </w:pPr>
      <w:r>
        <w:rPr>
          <w:rFonts w:hint="eastAsia" w:ascii="黑体" w:hAnsi="黑体" w:eastAsia="黑体"/>
          <w:szCs w:val="24"/>
        </w:rPr>
        <w:t>注：绿色数据中心对由内部相关方（如独立的IT部门、采购部门）或外部相关方（如客户、运营商）应具有积极措施引导其使用符合限用物质限量管理的电子电气产品。</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7.3 危险废物处置要求</w:t>
      </w:r>
    </w:p>
    <w:p>
      <w:pPr>
        <w:pStyle w:val="26"/>
        <w:spacing w:line="400" w:lineRule="exact"/>
        <w:ind w:firstLine="480"/>
        <w:rPr>
          <w:sz w:val="24"/>
          <w:szCs w:val="24"/>
        </w:rPr>
      </w:pPr>
      <w:r>
        <w:rPr>
          <w:rFonts w:hint="eastAsia"/>
          <w:sz w:val="24"/>
          <w:szCs w:val="24"/>
        </w:rPr>
        <w:t>绿色数据中心应识别在运行过程中产生的危险废物，对已纳入《国家危险废物名录》的危险废物，按照国家和属地的有关规定进行处置。</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7.4 环境影响管理要求</w:t>
      </w:r>
    </w:p>
    <w:p>
      <w:pPr>
        <w:pStyle w:val="26"/>
        <w:spacing w:line="400" w:lineRule="exact"/>
        <w:ind w:firstLine="480"/>
        <w:rPr>
          <w:sz w:val="24"/>
          <w:szCs w:val="24"/>
        </w:rPr>
      </w:pPr>
      <w:r>
        <w:rPr>
          <w:rFonts w:hint="eastAsia"/>
          <w:sz w:val="24"/>
          <w:szCs w:val="24"/>
        </w:rPr>
        <w:t>绿色数据中心应识别环境影响因素,评估其对环境的影响和风险,识别合规要求,采取有效措施减小对环境的影响，宜按照GB/T 24001的要求建立环境管理体系，宜按照GB/T 33136中7.2.4的要求健全“安健环管理”能力项。</w:t>
      </w:r>
    </w:p>
    <w:p>
      <w:pPr>
        <w:pStyle w:val="26"/>
        <w:spacing w:line="400" w:lineRule="exact"/>
        <w:ind w:firstLine="480"/>
        <w:rPr>
          <w:sz w:val="24"/>
          <w:szCs w:val="24"/>
        </w:rPr>
      </w:pPr>
      <w:r>
        <w:rPr>
          <w:rFonts w:hint="eastAsia"/>
          <w:sz w:val="24"/>
          <w:szCs w:val="24"/>
        </w:rPr>
        <w:t>绿色数据中心不应出现因违反环境保护法律法规要求被行政处罚的记录，应妥善处理环境安全事件和投诉，并采取有效措施避免再次发生。</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7.5 职业健康管理要求</w:t>
      </w:r>
    </w:p>
    <w:p>
      <w:pPr>
        <w:pStyle w:val="26"/>
        <w:spacing w:line="400" w:lineRule="exact"/>
        <w:ind w:firstLine="480"/>
        <w:rPr>
          <w:sz w:val="24"/>
          <w:szCs w:val="24"/>
        </w:rPr>
      </w:pPr>
      <w:r>
        <w:rPr>
          <w:rFonts w:hint="eastAsia"/>
          <w:sz w:val="24"/>
          <w:szCs w:val="24"/>
        </w:rPr>
        <w:t>绿色数据中心应识别危险源，并评估其风险，采取有效措施消除危险因素，确保员工、驻场合作伙伴和访客在数据中心场所中的职业健康和安全，宜按照</w:t>
      </w:r>
      <w:r>
        <w:rPr>
          <w:sz w:val="24"/>
          <w:szCs w:val="24"/>
        </w:rPr>
        <w:t>GB/T 28001</w:t>
      </w:r>
      <w:r>
        <w:rPr>
          <w:rFonts w:hint="eastAsia"/>
          <w:sz w:val="24"/>
          <w:szCs w:val="24"/>
        </w:rPr>
        <w:t>的要求建立职业健康安全管理体系，宜按照GB/T 33136中7.2.4的要求健全“安健环管理”能力项。</w:t>
      </w:r>
    </w:p>
    <w:p>
      <w:pPr>
        <w:pStyle w:val="26"/>
        <w:spacing w:line="400" w:lineRule="exact"/>
        <w:ind w:firstLine="480"/>
        <w:rPr>
          <w:sz w:val="24"/>
          <w:szCs w:val="24"/>
        </w:rPr>
      </w:pPr>
      <w:r>
        <w:rPr>
          <w:rFonts w:hint="eastAsia"/>
          <w:sz w:val="24"/>
          <w:szCs w:val="24"/>
        </w:rPr>
        <w:t>绿色数据中心不应出现达到致残等级以上工伤事件，应能够妥善处理职业健康安全事件，妥善处理员工关切。</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8业务能力目标要求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8.1 概述</w:t>
      </w:r>
    </w:p>
    <w:p>
      <w:pPr>
        <w:pStyle w:val="26"/>
        <w:spacing w:line="400" w:lineRule="exact"/>
        <w:ind w:firstLine="480"/>
        <w:rPr>
          <w:sz w:val="24"/>
          <w:szCs w:val="24"/>
        </w:rPr>
      </w:pPr>
      <w:r>
        <w:rPr>
          <w:rFonts w:hint="eastAsia"/>
          <w:sz w:val="24"/>
          <w:szCs w:val="24"/>
        </w:rPr>
        <w:t>绿色数据中心应能够为IT系统的正常运行提供稳定的电力供应和运行环境，是贯彻绿色发展理念的前提和基础。</w:t>
      </w:r>
    </w:p>
    <w:p>
      <w:pPr>
        <w:pStyle w:val="26"/>
        <w:spacing w:line="400" w:lineRule="exact"/>
        <w:ind w:firstLine="480"/>
        <w:rPr>
          <w:sz w:val="24"/>
          <w:szCs w:val="24"/>
        </w:rPr>
      </w:pPr>
      <w:r>
        <w:rPr>
          <w:rFonts w:hint="eastAsia"/>
          <w:sz w:val="24"/>
          <w:szCs w:val="24"/>
        </w:rPr>
        <w:t>绿色数据中心宜按照GB/T51314的要求，采取必要的技术手段，开展运行维护工作，宜按照GB/T 33136的要求，不断提高各项管理能力，逐级提升服务能力。</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8.2 电力供应能力要求</w:t>
      </w:r>
    </w:p>
    <w:p>
      <w:pPr>
        <w:pStyle w:val="26"/>
        <w:spacing w:line="400" w:lineRule="exact"/>
        <w:ind w:firstLine="480"/>
        <w:rPr>
          <w:sz w:val="24"/>
          <w:szCs w:val="24"/>
        </w:rPr>
      </w:pPr>
      <w:r>
        <w:rPr>
          <w:rFonts w:hint="eastAsia"/>
          <w:sz w:val="24"/>
          <w:szCs w:val="24"/>
        </w:rPr>
        <w:t>绿色数据中心供配电系统中主要环节（如变压器输出、UPS输出、空调配电柜输出、列头柜输出、机柜输出）电能质量应符合</w:t>
      </w:r>
      <w:r>
        <w:rPr>
          <w:sz w:val="24"/>
          <w:szCs w:val="24"/>
        </w:rPr>
        <w:t>GB/T 2887</w:t>
      </w:r>
      <w:r>
        <w:rPr>
          <w:rFonts w:hint="eastAsia"/>
          <w:sz w:val="24"/>
          <w:szCs w:val="24"/>
        </w:rPr>
        <w:t>的相关要求。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8.3 IT设备运行环境要求</w:t>
      </w:r>
    </w:p>
    <w:p>
      <w:pPr>
        <w:pStyle w:val="26"/>
        <w:spacing w:line="400" w:lineRule="exact"/>
        <w:ind w:firstLine="480"/>
        <w:rPr>
          <w:sz w:val="24"/>
          <w:szCs w:val="24"/>
        </w:rPr>
      </w:pPr>
      <w:r>
        <w:rPr>
          <w:rFonts w:hint="eastAsia"/>
          <w:sz w:val="24"/>
          <w:szCs w:val="24"/>
        </w:rPr>
        <w:t>绿色数据中心机房环境（如：正压、风速、温度、湿度、照度、空气洁净度、噪声、电磁干扰等）指标应满足国家标准GB/T 2887的相关要求。</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9相关方管理要求</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9.1 供方管理要求</w:t>
      </w:r>
    </w:p>
    <w:p>
      <w:pPr>
        <w:pStyle w:val="26"/>
        <w:spacing w:line="400" w:lineRule="exact"/>
        <w:ind w:firstLine="480"/>
        <w:rPr>
          <w:sz w:val="24"/>
          <w:szCs w:val="24"/>
        </w:rPr>
      </w:pPr>
      <w:r>
        <w:rPr>
          <w:rFonts w:hint="eastAsia"/>
          <w:sz w:val="24"/>
          <w:szCs w:val="24"/>
        </w:rPr>
        <w:t>绿色数据中心应采取有效措施确保供方提供的产品和服务满足本规范的要求，确保供方在本数据中心的活动符合本规范和数据中心的要求。</w:t>
      </w:r>
    </w:p>
    <w:p>
      <w:pPr>
        <w:pStyle w:val="35"/>
        <w:numPr>
          <w:ilvl w:val="0"/>
          <w:numId w:val="0"/>
        </w:numPr>
        <w:rPr>
          <w:rFonts w:ascii="黑体" w:hAnsi="黑体" w:eastAsia="黑体"/>
          <w:szCs w:val="24"/>
        </w:rPr>
      </w:pPr>
      <w:r>
        <w:rPr>
          <w:rFonts w:hint="eastAsia" w:ascii="黑体" w:hAnsi="黑体" w:eastAsia="黑体"/>
          <w:szCs w:val="24"/>
        </w:rPr>
        <w:t>注：必要的措施包括但不限于：合同约束、履约保证、到货验收、测试验证、服务评价等。</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9.2 客户及其他相关方管理要求</w:t>
      </w:r>
    </w:p>
    <w:p>
      <w:pPr>
        <w:pStyle w:val="26"/>
        <w:spacing w:line="400" w:lineRule="exact"/>
        <w:ind w:firstLine="480"/>
        <w:rPr>
          <w:sz w:val="24"/>
          <w:szCs w:val="24"/>
        </w:rPr>
      </w:pPr>
      <w:r>
        <w:rPr>
          <w:rFonts w:hint="eastAsia"/>
          <w:sz w:val="24"/>
          <w:szCs w:val="24"/>
        </w:rPr>
        <w:t>绿色数据中心应采取必要措施对内部相关方（如独立的IT部门等）或外部相关方（客户及其合作伙伴、运营商等）部署到本数据中心的设施系统及其在本数据中心的活动满足本规范要求。</w:t>
      </w:r>
    </w:p>
    <w:p>
      <w:pPr>
        <w:pStyle w:val="35"/>
        <w:numPr>
          <w:ilvl w:val="0"/>
          <w:numId w:val="0"/>
        </w:numPr>
        <w:rPr>
          <w:rFonts w:ascii="黑体" w:hAnsi="黑体" w:eastAsia="黑体"/>
          <w:szCs w:val="24"/>
        </w:rPr>
      </w:pPr>
      <w:r>
        <w:rPr>
          <w:rFonts w:hint="eastAsia" w:ascii="黑体" w:hAnsi="黑体" w:eastAsia="黑体"/>
          <w:szCs w:val="24"/>
        </w:rPr>
        <w:t>注：必要的措施包括但不限于：合同约束、流程约束、签署责任书、告知等。</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9.3 第三方服务管理要求</w:t>
      </w:r>
    </w:p>
    <w:p>
      <w:pPr>
        <w:pStyle w:val="26"/>
        <w:spacing w:line="400" w:lineRule="exact"/>
        <w:ind w:firstLine="480"/>
        <w:rPr>
          <w:sz w:val="24"/>
          <w:szCs w:val="24"/>
        </w:rPr>
      </w:pPr>
      <w:r>
        <w:rPr>
          <w:rFonts w:hint="eastAsia"/>
          <w:sz w:val="24"/>
          <w:szCs w:val="24"/>
        </w:rPr>
        <w:t>绿色数据中心宜充分利用测试验证机构、咨询机构、评价机构、认证机构等第三方社会资源，分析差距、识别改进机会、借鉴先进经验，持续提升本规范符合程度，持续的贯彻绿色发展理念。</w:t>
      </w:r>
    </w:p>
    <w:p>
      <w:pPr>
        <w:pStyle w:val="31"/>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1"/>
        <w:rPr>
          <w:rFonts w:hint="eastAsia"/>
          <w:sz w:val="24"/>
          <w:szCs w:val="24"/>
        </w:rPr>
      </w:pPr>
      <w:r>
        <w:rPr>
          <w:rFonts w:hint="eastAsia"/>
          <w:sz w:val="24"/>
          <w:szCs w:val="24"/>
        </w:rPr>
        <w:t>10绿色数据中心评价</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10.1 评价方式</w:t>
      </w:r>
    </w:p>
    <w:p>
      <w:pPr>
        <w:ind w:firstLine="480" w:firstLineChars="200"/>
        <w:rPr>
          <w:sz w:val="24"/>
        </w:rPr>
      </w:pPr>
      <w:r>
        <w:rPr>
          <w:rFonts w:hint="eastAsia"/>
          <w:sz w:val="24"/>
        </w:rPr>
        <w:t>根据需要可以选择自我评价、政府主管部门评价和第三方评价。</w:t>
      </w:r>
    </w:p>
    <w:p>
      <w:pPr>
        <w:pStyle w:val="35"/>
        <w:numPr>
          <w:ilvl w:val="0"/>
          <w:numId w:val="0"/>
        </w:numPr>
        <w:rPr>
          <w:rFonts w:ascii="黑体" w:hAnsi="黑体" w:eastAsia="黑体"/>
          <w:szCs w:val="24"/>
        </w:rPr>
      </w:pPr>
      <w:r>
        <w:rPr>
          <w:rFonts w:hint="eastAsia" w:ascii="黑体" w:hAnsi="黑体" w:eastAsia="黑体"/>
          <w:szCs w:val="24"/>
        </w:rPr>
        <w:t>注：第三方是独立于被评价对象和政府主管部门之外的具备一定能力或资质的组织。</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10.2 实施过程</w:t>
      </w:r>
    </w:p>
    <w:p>
      <w:pPr>
        <w:pStyle w:val="26"/>
        <w:spacing w:line="400" w:lineRule="exact"/>
        <w:ind w:firstLine="480"/>
        <w:rPr>
          <w:sz w:val="24"/>
          <w:szCs w:val="24"/>
        </w:rPr>
      </w:pPr>
      <w:r>
        <w:rPr>
          <w:rFonts w:hint="eastAsia"/>
          <w:sz w:val="24"/>
          <w:szCs w:val="24"/>
        </w:rPr>
        <w:t>评价的实施过程包括：评价准备、评价方案撰写、评价指标数据获取与评价人员打分、分值评定和评价报告撰写。</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rFonts w:hint="eastAsia"/>
          <w:sz w:val="24"/>
          <w:szCs w:val="24"/>
        </w:rPr>
      </w:pPr>
      <w:r>
        <w:rPr>
          <w:rFonts w:hint="eastAsia"/>
          <w:sz w:val="24"/>
          <w:szCs w:val="24"/>
        </w:rPr>
        <w:t>10.3 评价分值评定</w:t>
      </w:r>
    </w:p>
    <w:p>
      <w:pPr>
        <w:pStyle w:val="26"/>
        <w:spacing w:line="400" w:lineRule="exact"/>
        <w:ind w:firstLine="480"/>
        <w:rPr>
          <w:sz w:val="24"/>
          <w:szCs w:val="24"/>
        </w:rPr>
      </w:pPr>
      <w:r>
        <w:rPr>
          <w:rFonts w:hint="eastAsia"/>
          <w:sz w:val="24"/>
          <w:szCs w:val="24"/>
        </w:rPr>
        <w:t>绿色数据中心采取打分与否决相结合的方式进行评价。</w:t>
      </w:r>
    </w:p>
    <w:p>
      <w:pPr>
        <w:pStyle w:val="26"/>
        <w:spacing w:line="400" w:lineRule="exact"/>
        <w:ind w:firstLine="480"/>
        <w:rPr>
          <w:sz w:val="24"/>
          <w:szCs w:val="24"/>
        </w:rPr>
      </w:pPr>
      <w:r>
        <w:rPr>
          <w:rFonts w:hint="eastAsia"/>
          <w:sz w:val="24"/>
          <w:szCs w:val="24"/>
        </w:rPr>
        <w:t>如出现否决项目，则评价结果直接确定为不合格；在无否决项的前提下，各评价项目按照本规范确定的方法和分值确定各项得分，加总获得总分。总分达到北京市主管部门确定的分值标准以上的，可认定为北京市绿色数据中心。</w:t>
      </w:r>
    </w:p>
    <w:p>
      <w:pPr>
        <w:pStyle w:val="26"/>
        <w:spacing w:line="400" w:lineRule="exact"/>
        <w:ind w:firstLine="480"/>
        <w:rPr>
          <w:sz w:val="24"/>
          <w:szCs w:val="24"/>
        </w:rPr>
      </w:pPr>
      <w:r>
        <w:rPr>
          <w:rFonts w:hint="eastAsia"/>
          <w:sz w:val="24"/>
          <w:szCs w:val="24"/>
        </w:rPr>
        <w:t>评价指标体系中各项指标记分方法见附录A。</w:t>
      </w:r>
    </w:p>
    <w:p>
      <w:pPr>
        <w:pStyle w:val="33"/>
        <w:keepNext w:val="0"/>
        <w:keepLines w:val="0"/>
        <w:pageBreakBefore w:val="0"/>
        <w:widowControl/>
        <w:kinsoku/>
        <w:wordWrap/>
        <w:overflowPunct/>
        <w:topLinePunct w:val="0"/>
        <w:autoSpaceDE/>
        <w:autoSpaceDN/>
        <w:bidi w:val="0"/>
        <w:adjustRightInd/>
        <w:snapToGrid/>
        <w:spacing w:beforeLines="0" w:afterLines="0"/>
        <w:textAlignment w:val="auto"/>
        <w:outlineLvl w:val="2"/>
        <w:rPr>
          <w:sz w:val="24"/>
          <w:szCs w:val="24"/>
        </w:rPr>
      </w:pPr>
      <w:r>
        <w:rPr>
          <w:rFonts w:hint="eastAsia"/>
          <w:sz w:val="24"/>
          <w:szCs w:val="24"/>
        </w:rPr>
        <w:t>10.4 评价结果</w:t>
      </w:r>
    </w:p>
    <w:p>
      <w:pPr>
        <w:pStyle w:val="26"/>
        <w:spacing w:line="400" w:lineRule="exact"/>
        <w:ind w:firstLine="0" w:firstLineChars="0"/>
        <w:rPr>
          <w:sz w:val="24"/>
          <w:szCs w:val="24"/>
        </w:rPr>
      </w:pPr>
      <w:r>
        <w:rPr>
          <w:rFonts w:hint="eastAsia" w:ascii="黑体" w:eastAsia="黑体"/>
          <w:sz w:val="24"/>
          <w:szCs w:val="24"/>
        </w:rPr>
        <w:t xml:space="preserve">10.4.1 </w:t>
      </w:r>
      <w:r>
        <w:rPr>
          <w:rFonts w:hint="eastAsia"/>
          <w:sz w:val="24"/>
          <w:szCs w:val="24"/>
        </w:rPr>
        <w:t>评价结果应包含：评价对象情况、评价方案(评价目的、评价范围等)、评价依据、评价活动过程、评价分值及解释、评价时间、评价者情况。</w:t>
      </w:r>
    </w:p>
    <w:p>
      <w:pPr>
        <w:pStyle w:val="26"/>
        <w:spacing w:line="400" w:lineRule="exact"/>
        <w:ind w:firstLine="0" w:firstLineChars="0"/>
        <w:rPr>
          <w:sz w:val="24"/>
          <w:szCs w:val="24"/>
        </w:rPr>
      </w:pPr>
      <w:r>
        <w:rPr>
          <w:rFonts w:hint="eastAsia" w:ascii="黑体" w:eastAsia="黑体"/>
          <w:sz w:val="24"/>
          <w:szCs w:val="24"/>
        </w:rPr>
        <w:t xml:space="preserve">10.4.2 </w:t>
      </w:r>
      <w:r>
        <w:rPr>
          <w:rFonts w:hint="eastAsia"/>
          <w:sz w:val="24"/>
          <w:szCs w:val="24"/>
        </w:rPr>
        <w:t>评价结果宜包含：准对评价对象及相关方的工作建议；评价分值、评价结论及其他内容的使用建议及使用限制。</w:t>
      </w:r>
    </w:p>
    <w:p>
      <w:pPr>
        <w:pStyle w:val="26"/>
        <w:spacing w:line="400" w:lineRule="exact"/>
        <w:ind w:firstLine="0" w:firstLineChars="0"/>
        <w:rPr>
          <w:sz w:val="24"/>
          <w:szCs w:val="24"/>
        </w:rPr>
      </w:pPr>
      <w:r>
        <w:rPr>
          <w:rFonts w:hint="eastAsia" w:ascii="黑体" w:eastAsia="黑体"/>
          <w:sz w:val="24"/>
          <w:szCs w:val="24"/>
        </w:rPr>
        <w:t xml:space="preserve">10.4.3 </w:t>
      </w:r>
      <w:r>
        <w:rPr>
          <w:rFonts w:hint="eastAsia"/>
          <w:sz w:val="24"/>
          <w:szCs w:val="24"/>
        </w:rPr>
        <w:t>评价者宜使用图表等表现形式，直观的反应评价分值、评价结论及其他内容。</w:t>
      </w:r>
    </w:p>
    <w:p>
      <w:pPr>
        <w:pStyle w:val="26"/>
        <w:spacing w:line="400" w:lineRule="exact"/>
        <w:ind w:firstLine="0" w:firstLineChars="0"/>
        <w:rPr>
          <w:sz w:val="24"/>
          <w:szCs w:val="24"/>
        </w:rPr>
      </w:pPr>
      <w:r>
        <w:rPr>
          <w:rFonts w:hint="eastAsia" w:ascii="黑体" w:eastAsia="黑体"/>
          <w:sz w:val="24"/>
          <w:szCs w:val="24"/>
        </w:rPr>
        <w:t xml:space="preserve">10.4.4 </w:t>
      </w:r>
      <w:r>
        <w:rPr>
          <w:rFonts w:hint="eastAsia"/>
          <w:sz w:val="24"/>
          <w:szCs w:val="24"/>
        </w:rPr>
        <w:t>评价者应保护被评价对象的保密信息，防止泄露、丢失；在发生或可能发生泄露丢失，应立即采取补救措施。当评价结果的全部或部分内容需要以非政府工作原因被引用，评价者应视评价结果的公布、使用范围等，对其进行技术处理。</w:t>
      </w:r>
    </w:p>
    <w:p>
      <w:pPr>
        <w:ind w:firstLine="480" w:firstLineChars="200"/>
        <w:rPr>
          <w:sz w:val="24"/>
        </w:rPr>
      </w:pPr>
    </w:p>
    <w:p>
      <w:pPr>
        <w:ind w:firstLine="480" w:firstLineChars="200"/>
        <w:rPr>
          <w:sz w:val="24"/>
        </w:rPr>
        <w:sectPr>
          <w:footerReference r:id="rId6" w:type="first"/>
          <w:headerReference r:id="rId3" w:type="default"/>
          <w:footerReference r:id="rId4" w:type="default"/>
          <w:footerReference r:id="rId5" w:type="even"/>
          <w:pgSz w:w="11906" w:h="16838"/>
          <w:pgMar w:top="2098" w:right="1474" w:bottom="1985" w:left="1588" w:header="1418" w:footer="1134" w:gutter="0"/>
          <w:pgNumType w:fmt="numberInDash" w:start="33"/>
          <w:cols w:space="425" w:num="1"/>
          <w:formProt w:val="0"/>
          <w:titlePg/>
          <w:docGrid w:linePitch="312" w:charSpace="0"/>
        </w:sectPr>
      </w:pPr>
    </w:p>
    <w:p>
      <w:pPr>
        <w:pStyle w:val="37"/>
        <w:tabs>
          <w:tab w:val="left" w:pos="360"/>
        </w:tabs>
        <w:ind w:left="0"/>
        <w:rPr>
          <w:rFonts w:ascii="Times New Roman"/>
          <w:szCs w:val="21"/>
        </w:rPr>
      </w:pPr>
      <w:r>
        <w:rPr>
          <w:szCs w:val="21"/>
        </w:rPr>
        <w:br w:type="textWrapping"/>
      </w:r>
      <w:r>
        <w:rPr>
          <w:rFonts w:hint="eastAsia"/>
          <w:szCs w:val="21"/>
        </w:rPr>
        <w:t>（规范性附录）</w:t>
      </w:r>
      <w:r>
        <w:rPr>
          <w:szCs w:val="21"/>
        </w:rPr>
        <w:br w:type="textWrapping"/>
      </w:r>
      <w:r>
        <w:rPr>
          <w:rFonts w:hint="eastAsia"/>
          <w:szCs w:val="21"/>
        </w:rPr>
        <w:t>绿色数据中心评价指标</w:t>
      </w:r>
      <w:r>
        <w:rPr>
          <w:rFonts w:hint="eastAsia" w:ascii="Times New Roman"/>
          <w:szCs w:val="21"/>
        </w:rPr>
        <w:t>记分方法</w:t>
      </w:r>
    </w:p>
    <w:p>
      <w:pPr>
        <w:pStyle w:val="33"/>
        <w:spacing w:before="120" w:after="120"/>
        <w:rPr>
          <w:rFonts w:hAnsi="黑体"/>
        </w:rPr>
      </w:pPr>
      <w:r>
        <w:rPr>
          <w:rFonts w:hint="eastAsia" w:hAnsi="黑体"/>
        </w:rPr>
        <w:t>A.1 最少化资源消耗要求</w:t>
      </w:r>
    </w:p>
    <w:p>
      <w:pPr>
        <w:pStyle w:val="33"/>
        <w:spacing w:before="120" w:after="120"/>
        <w:rPr>
          <w:rFonts w:hAnsi="黑体"/>
        </w:rPr>
      </w:pPr>
      <w:r>
        <w:rPr>
          <w:rFonts w:hint="eastAsia" w:hAnsi="黑体"/>
        </w:rPr>
        <w:t>A.1.1电能管理评价方法</w:t>
      </w:r>
    </w:p>
    <w:p>
      <w:pPr>
        <w:pStyle w:val="26"/>
        <w:rPr>
          <w:szCs w:val="21"/>
        </w:rPr>
      </w:pPr>
      <w:r>
        <w:rPr>
          <w:rFonts w:hint="eastAsia"/>
          <w:szCs w:val="21"/>
        </w:rPr>
        <w:t>电能管理按照表A.1给定的指标记分方法，进行评价给出分值。</w:t>
      </w:r>
    </w:p>
    <w:p>
      <w:pPr>
        <w:pStyle w:val="34"/>
        <w:spacing w:before="120" w:after="120"/>
        <w:ind w:left="2977"/>
        <w:jc w:val="both"/>
        <w:rPr>
          <w:rFonts w:ascii="Times New Roman"/>
          <w:szCs w:val="21"/>
        </w:rPr>
      </w:pPr>
      <w:r>
        <w:rPr>
          <w:rFonts w:hint="eastAsia" w:ascii="Times New Roman"/>
          <w:szCs w:val="21"/>
        </w:rPr>
        <w:t>表 A.1电能管理指标记分方法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42"/>
        <w:gridCol w:w="992"/>
        <w:gridCol w:w="5956"/>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8"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2" w:type="dxa"/>
            <w:tcBorders>
              <w:top w:val="single" w:color="auto" w:sz="8"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992" w:type="dxa"/>
            <w:tcBorders>
              <w:top w:val="single" w:color="auto" w:sz="8"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w:t>
            </w:r>
          </w:p>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项目</w:t>
            </w:r>
          </w:p>
        </w:tc>
        <w:tc>
          <w:tcPr>
            <w:tcW w:w="5956" w:type="dxa"/>
            <w:tcBorders>
              <w:top w:val="single" w:color="auto" w:sz="8"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28" w:type="dxa"/>
            <w:tcBorders>
              <w:top w:val="single" w:color="auto" w:sz="8"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numPr>
                <w:ilvl w:val="0"/>
                <w:numId w:val="5"/>
              </w:numPr>
              <w:ind w:firstLineChars="0"/>
              <w:jc w:val="center"/>
              <w:rPr>
                <w:rFonts w:asciiTheme="minorEastAsia" w:hAnsiTheme="minorEastAsia" w:eastAsiaTheme="minorEastAsia"/>
                <w:szCs w:val="21"/>
              </w:rPr>
            </w:pPr>
          </w:p>
        </w:tc>
        <w:tc>
          <w:tcPr>
            <w:tcW w:w="742" w:type="dxa"/>
            <w:vMerge w:val="restart"/>
            <w:tcBorders>
              <w:top w:val="single" w:color="auto" w:sz="4" w:space="0"/>
              <w:left w:val="single" w:color="auto" w:sz="8"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能源管理制度</w:t>
            </w: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能源统计和分析</w:t>
            </w:r>
            <w:r>
              <w:rPr>
                <w:rFonts w:hint="eastAsia" w:asciiTheme="minorEastAsia" w:hAnsiTheme="minorEastAsia" w:eastAsiaTheme="minorEastAsia"/>
                <w:szCs w:val="21"/>
                <w:vertAlign w:val="subscript"/>
              </w:rPr>
              <w:t>注1</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电能使用分项计量，满足GB/T 32910.3-2016要求。</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有能源消费使用统计制度及实施方案。</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有专人负责能源消费统计。</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定期进行统计，报表质量好。</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按月进行能耗数据分析，形成分析记录。</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有季度或者年度能耗分析报告。</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分析报告中提出了现存问题和有效改进措施。</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定期公示能耗情况。</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运行管理</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有明确的重点用设备和系统清单。</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对清单中的设备系统的运行及能耗状况实现了在线监控。</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设备系统的维护保养记录完整。</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设备系统的巡视检查记录完整</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有关键系统的调优运行措施和调整记录</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有用能用水各系统的完整图纸，有图纸随着改造、变更进行了及时更新的证据。</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有完整的用能设备设施台账，台账信息至少包括数量（如有备用，备用数量应标清）、型号、厂家、功率、安装时间等。</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设备更新、报废、转备用等变更时，及时更新设备台账。</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实行了节能工作目标责任制</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有明确的节能策略</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建立了节能领导小组，有明确的负责节能工作的人员名单。</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宣传和培训</w:t>
            </w:r>
          </w:p>
        </w:tc>
        <w:tc>
          <w:tcPr>
            <w:tcW w:w="5956" w:type="dxa"/>
            <w:tcBorders>
              <w:top w:val="single" w:color="auto" w:sz="4" w:space="0"/>
              <w:left w:val="single" w:color="auto" w:sz="4" w:space="0"/>
              <w:bottom w:val="single" w:color="auto" w:sz="4" w:space="0"/>
              <w:right w:val="single" w:color="auto" w:sz="8" w:space="0"/>
            </w:tcBorders>
          </w:tcPr>
          <w:p>
            <w:pPr>
              <w:pStyle w:val="38"/>
              <w:rPr>
                <w:rFonts w:asciiTheme="minorEastAsia" w:hAnsiTheme="minorEastAsia" w:eastAsiaTheme="minorEastAsia"/>
                <w:sz w:val="21"/>
                <w:szCs w:val="21"/>
              </w:rPr>
            </w:pPr>
            <w:r>
              <w:rPr>
                <w:rFonts w:hint="eastAsia" w:asciiTheme="minorEastAsia" w:hAnsiTheme="minorEastAsia" w:eastAsiaTheme="minorEastAsia"/>
                <w:sz w:val="21"/>
                <w:szCs w:val="21"/>
              </w:rPr>
              <w:t>定期对各类人员进行节能岗位技能培训，有培训记录档案。</w:t>
            </w:r>
          </w:p>
          <w:p>
            <w:pPr>
              <w:pStyle w:val="38"/>
              <w:rPr>
                <w:rFonts w:asciiTheme="minorEastAsia" w:hAnsiTheme="minorEastAsia" w:eastAsiaTheme="minorEastAsia"/>
                <w:kern w:val="2"/>
                <w:sz w:val="21"/>
                <w:szCs w:val="21"/>
              </w:rPr>
            </w:pPr>
            <w:r>
              <w:rPr>
                <w:rFonts w:hint="eastAsia" w:asciiTheme="minorEastAsia" w:hAnsiTheme="minorEastAsia" w:eastAsiaTheme="minorEastAsia"/>
                <w:sz w:val="21"/>
                <w:szCs w:val="21"/>
              </w:rPr>
              <w:t>培训内容至少包括节能理念、对应岗位需要的节能技术等。</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bottom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定期宣传节能理念，包括海报、标语、日历等，不拘形式。</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tcBorders>
              <w:top w:val="single" w:color="auto" w:sz="4" w:space="0"/>
              <w:left w:val="single" w:color="auto" w:sz="8" w:space="0"/>
              <w:bottom w:val="single" w:color="auto" w:sz="4"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电能使用</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电能使用效率</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按照本规范6.1.3的要求计算EEUE</w:t>
            </w:r>
            <w:r>
              <w:rPr>
                <w:rFonts w:hint="eastAsia" w:asciiTheme="minorEastAsia" w:hAnsiTheme="minorEastAsia" w:eastAsiaTheme="minorEastAsia"/>
                <w:kern w:val="2"/>
                <w:szCs w:val="21"/>
                <w:vertAlign w:val="subscript"/>
              </w:rPr>
              <w:t>修正值</w:t>
            </w:r>
            <w:r>
              <w:rPr>
                <w:rFonts w:hint="eastAsia" w:asciiTheme="minorEastAsia" w:hAnsiTheme="minorEastAsia" w:eastAsiaTheme="minorEastAsia"/>
                <w:kern w:val="2"/>
                <w:szCs w:val="21"/>
              </w:rPr>
              <w:t>。</w:t>
            </w:r>
          </w:p>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本项得分值按照如下公式计算得出：</w:t>
            </w:r>
          </w:p>
          <w:p>
            <w:pPr>
              <w:pStyle w:val="26"/>
              <w:ind w:firstLine="0" w:firstLineChars="0"/>
              <w:jc w:val="left"/>
              <w:rPr>
                <w:rFonts w:asciiTheme="minorEastAsia" w:hAnsiTheme="minorEastAsia" w:eastAsiaTheme="minorEastAsia"/>
                <w:kern w:val="2"/>
                <w:szCs w:val="21"/>
                <w:vertAlign w:val="superscript"/>
              </w:rPr>
            </w:pPr>
            <w:r>
              <w:rPr>
                <w:rFonts w:hint="eastAsia" w:asciiTheme="minorEastAsia" w:hAnsiTheme="minorEastAsia" w:eastAsiaTheme="minorEastAsia"/>
                <w:kern w:val="2"/>
                <w:szCs w:val="21"/>
              </w:rPr>
              <w:t>30-7.5×（EEUE</w:t>
            </w:r>
            <w:r>
              <w:rPr>
                <w:rFonts w:hint="eastAsia" w:asciiTheme="minorEastAsia" w:hAnsiTheme="minorEastAsia" w:eastAsiaTheme="minorEastAsia"/>
                <w:kern w:val="2"/>
                <w:szCs w:val="21"/>
                <w:vertAlign w:val="subscript"/>
              </w:rPr>
              <w:t>修正值</w:t>
            </w:r>
            <w:r>
              <w:rPr>
                <w:rFonts w:hint="eastAsia" w:asciiTheme="minorEastAsia" w:hAnsiTheme="minorEastAsia" w:eastAsiaTheme="minorEastAsia"/>
                <w:kern w:val="2"/>
                <w:szCs w:val="21"/>
              </w:rPr>
              <w:t>-1）</w:t>
            </w:r>
            <w:r>
              <w:rPr>
                <w:rFonts w:asciiTheme="minorEastAsia" w:hAnsiTheme="minorEastAsia" w:eastAsiaTheme="minorEastAsia"/>
                <w:kern w:val="2"/>
                <w:szCs w:val="21"/>
              </w:rPr>
              <w:t>²</w:t>
            </w:r>
          </w:p>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EEUE</w:t>
            </w:r>
            <w:r>
              <w:rPr>
                <w:rFonts w:hint="eastAsia" w:asciiTheme="minorEastAsia" w:hAnsiTheme="minorEastAsia" w:eastAsiaTheme="minorEastAsia"/>
                <w:kern w:val="2"/>
                <w:szCs w:val="21"/>
                <w:vertAlign w:val="subscript"/>
              </w:rPr>
              <w:t>修正值</w:t>
            </w:r>
            <w:r>
              <w:rPr>
                <w:rFonts w:hint="eastAsia" w:asciiTheme="minorEastAsia" w:hAnsiTheme="minorEastAsia" w:eastAsiaTheme="minorEastAsia"/>
                <w:kern w:val="2"/>
                <w:szCs w:val="21"/>
              </w:rPr>
              <w:t>&gt;3或者计算不符合本规范6.1.3的要求的，本项不得分。</w:t>
            </w:r>
          </w:p>
          <w:p>
            <w:pPr>
              <w:pStyle w:val="26"/>
              <w:ind w:firstLine="0" w:firstLineChars="0"/>
              <w:jc w:val="left"/>
              <w:rPr>
                <w:rFonts w:ascii="黑体" w:hAnsi="黑体" w:eastAsia="黑体"/>
                <w:kern w:val="2"/>
                <w:szCs w:val="21"/>
              </w:rPr>
            </w:pPr>
            <w:r>
              <w:rPr>
                <w:rFonts w:hint="eastAsia" w:ascii="黑体" w:hAnsi="黑体" w:eastAsia="黑体"/>
                <w:kern w:val="2"/>
                <w:szCs w:val="21"/>
              </w:rPr>
              <w:t>注：数据中心采用PUE时，分值计算为30-7.5×（PUE年度-1）</w:t>
            </w:r>
            <w:r>
              <w:rPr>
                <w:rFonts w:hint="eastAsia" w:hAnsi="宋体" w:cs="宋体"/>
                <w:kern w:val="2"/>
                <w:szCs w:val="21"/>
              </w:rPr>
              <w:t>²</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2"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992"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w:t>
            </w:r>
          </w:p>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项目</w:t>
            </w:r>
          </w:p>
        </w:tc>
        <w:tc>
          <w:tcPr>
            <w:tcW w:w="5956"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restart"/>
            <w:tcBorders>
              <w:top w:val="single" w:color="auto" w:sz="4" w:space="0"/>
              <w:left w:val="single" w:color="auto" w:sz="8"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节能措施</w:t>
            </w: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机房环境系统节能</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空调冷源系统具备利用自然冷源或可再生能源、外部废热余热等进行供冷的技术；选用高效冷源和输送设备，根据负荷进行变频调速控制；提升冷冻水温度，加大供回水温差；提高送风温度，加大送回风温差；采用技术经济合理的数据中心内部余热回收技术，提高能源的综合利用率；</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空调末端系统靠近热源，近端制冷（如：背板、前板、列间、顶置空调、机架式等）；机房空调变风量运行；采用高效除湿方式；</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IT设备采用冷热通道方式布局</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机架安装盲板，不存在热短路</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采用通道封闭技术</w:t>
            </w:r>
          </w:p>
        </w:tc>
        <w:tc>
          <w:tcPr>
            <w:tcW w:w="728" w:type="dxa"/>
            <w:tcBorders>
              <w:top w:val="single" w:color="auto" w:sz="4" w:space="0"/>
              <w:left w:val="single" w:color="auto" w:sz="4" w:space="0"/>
              <w:bottom w:val="single" w:color="auto" w:sz="4" w:space="0"/>
              <w:right w:val="single" w:color="auto" w:sz="8"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供配电系统节能</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选用低损耗变压器（如非晶合金变压器、SCB11以上等）；功率因数不低于0.9；进行谐波整治；采用高效不间断电源设备；行业允许情况下采用一路市电一路不间断电源/高压直流联合供电方式；设备调优运行。</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变配电系统架构扁平化；供配电设备深入负荷中心安装；选用高压油机、高压冷机等高电压等级设备降低电流运行值；采用高压直流技术。</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信息系统节能</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对组织自用信息系统具备提高IT设备的应用效率，减少信息设备的投入量的措施，引入虚拟化技术、动态侦测动态存储，对计算设备、存储设备、网络设备进行资源池化，按需分配；</w:t>
            </w:r>
          </w:p>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在选择服务器时，引入液冷服务器,整机柜服务器及其他符合标准的高能效服务器；</w:t>
            </w:r>
          </w:p>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在选择存储设备时，充分考虑到数据的冷热级别，按数据冷热程度分级存储，引入低功耗光存储技术与光磁电融和存储系统，作到细分存储。</w:t>
            </w:r>
          </w:p>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对由内部相关方（如独立的IT部门）或外部相关方（如客户、运营商）控制的信息系统，应对该相关方的信息系统满足本项要求施加影响，具有鼓励用户使用节能型IT设备的措施。</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照明系统节能</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使用光效不小于80lm/W的节能型光源作为主要光源</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应能对机房内灯具的开关进行方便、灵活的控制，控制方式可采用照明控制或墙壁开关控制，照明应分场景、分区域控制。</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围护系统节能</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数据中心机房的规划布置和设计，可充分利用冬季日照和夏季自然通风，并避开冬季主导风向；其主要朝向宜选择本地区最佳朝向，避开夏季最大日照朝向；数据中心为一栋整体建筑时，IT设备机房宜设置在机房内侧，辅助区域设置在外侧。</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外保温:采用符合GB50189相关规定。当主机房与外围护结构相邻时，对应部分的外围护结构的热工性能应根据全年动态能耗分析情况确定最优值。</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vMerge w:val="continue"/>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p>
        </w:tc>
        <w:tc>
          <w:tcPr>
            <w:tcW w:w="992" w:type="dxa"/>
            <w:vMerge w:val="continue"/>
            <w:tcBorders>
              <w:left w:val="single" w:color="auto" w:sz="4" w:space="0"/>
              <w:right w:val="single" w:color="auto" w:sz="4" w:space="0"/>
            </w:tcBorders>
            <w:vAlign w:val="center"/>
          </w:tcPr>
          <w:p>
            <w:pPr>
              <w:jc w:val="center"/>
              <w:rPr>
                <w:rFonts w:asciiTheme="minorEastAsia" w:hAnsiTheme="minorEastAsia" w:eastAsiaTheme="minorEastAsia"/>
                <w:szCs w:val="21"/>
              </w:rPr>
            </w:pP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主机房不设外窗，必要时可采用双层窗、中空玻璃窗等高效节能门窗。外窗应具有较好的防尘、防水、防火、抗风、隔热的性能，且满足洁净度要求。机房门宜选用具有保温性能的防火门，并宜安装闭门器，门长闭。</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0.25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2"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2"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992"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w:t>
            </w:r>
          </w:p>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项目</w:t>
            </w:r>
          </w:p>
        </w:tc>
        <w:tc>
          <w:tcPr>
            <w:tcW w:w="5956"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642"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5"/>
              </w:numPr>
              <w:ind w:firstLineChars="0"/>
              <w:jc w:val="center"/>
              <w:rPr>
                <w:rFonts w:asciiTheme="minorEastAsia" w:hAnsiTheme="minorEastAsia" w:eastAsiaTheme="minorEastAsia"/>
                <w:szCs w:val="21"/>
              </w:rPr>
            </w:pPr>
          </w:p>
        </w:tc>
        <w:tc>
          <w:tcPr>
            <w:tcW w:w="742" w:type="dxa"/>
            <w:tcBorders>
              <w:left w:val="single" w:color="auto" w:sz="8"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电能管理持续改进</w:t>
            </w:r>
          </w:p>
        </w:tc>
        <w:tc>
          <w:tcPr>
            <w:tcW w:w="992" w:type="dxa"/>
            <w:tcBorders>
              <w:left w:val="single" w:color="auto" w:sz="4" w:space="0"/>
              <w:right w:val="single" w:color="auto" w:sz="4" w:space="0"/>
            </w:tcBorders>
            <w:vAlign w:val="center"/>
          </w:tcPr>
          <w:p>
            <w:pPr>
              <w:widowControl/>
              <w:jc w:val="center"/>
              <w:rPr>
                <w:rFonts w:asciiTheme="minorEastAsia" w:hAnsiTheme="minorEastAsia" w:eastAsiaTheme="minorEastAsia"/>
                <w:szCs w:val="21"/>
              </w:rPr>
            </w:pPr>
            <w:r>
              <w:rPr>
                <w:rFonts w:hint="eastAsia" w:asciiTheme="minorEastAsia" w:hAnsiTheme="minorEastAsia" w:eastAsiaTheme="minorEastAsia"/>
                <w:szCs w:val="21"/>
              </w:rPr>
              <w:t>电能管理持续改进</w:t>
            </w:r>
          </w:p>
        </w:tc>
        <w:tc>
          <w:tcPr>
            <w:tcW w:w="5956" w:type="dxa"/>
            <w:tcBorders>
              <w:top w:val="single" w:color="auto" w:sz="4" w:space="0"/>
              <w:left w:val="single" w:color="auto" w:sz="4" w:space="0"/>
              <w:bottom w:val="single" w:color="auto" w:sz="4" w:space="0"/>
              <w:right w:val="single" w:color="auto" w:sz="8" w:space="0"/>
            </w:tcBorders>
          </w:tcPr>
          <w:p>
            <w:pPr>
              <w:pStyle w:val="26"/>
              <w:ind w:firstLine="0" w:firstLineChars="0"/>
              <w:jc w:val="left"/>
              <w:rPr>
                <w:rFonts w:asciiTheme="minorEastAsia" w:hAnsiTheme="minorEastAsia" w:eastAsiaTheme="minorEastAsia"/>
                <w:kern w:val="2"/>
                <w:szCs w:val="21"/>
              </w:rPr>
            </w:pPr>
            <w:r>
              <w:rPr>
                <w:rFonts w:hint="eastAsia" w:asciiTheme="minorEastAsia" w:hAnsiTheme="minorEastAsia" w:eastAsiaTheme="minorEastAsia"/>
                <w:kern w:val="2"/>
                <w:szCs w:val="21"/>
              </w:rPr>
              <w:t>定期(至少每年1次)对能源管理制度及所采取的节能措施的效果进行回顾，识别改进机会，制定改进措施、修订有关制度，确保电能管理目标实现。</w:t>
            </w:r>
          </w:p>
        </w:tc>
        <w:tc>
          <w:tcPr>
            <w:tcW w:w="72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5"/>
        <w:numPr>
          <w:ilvl w:val="0"/>
          <w:numId w:val="0"/>
        </w:numPr>
        <w:rPr>
          <w:rFonts w:ascii="黑体" w:hAnsi="黑体" w:eastAsia="黑体"/>
          <w:szCs w:val="24"/>
        </w:rPr>
      </w:pPr>
      <w:r>
        <w:rPr>
          <w:rFonts w:hint="eastAsia" w:ascii="黑体" w:hAnsi="黑体" w:eastAsia="黑体"/>
          <w:szCs w:val="24"/>
        </w:rPr>
        <w:t>注1：评估对象获得能源管理体系认证证书，证书在有效期内且证书范围覆盖评估对象场所范围的，直接获得“能源统计和分析”项目的全部得分。</w:t>
      </w:r>
    </w:p>
    <w:p>
      <w:pPr>
        <w:pStyle w:val="33"/>
        <w:spacing w:before="120" w:after="120"/>
        <w:rPr>
          <w:rFonts w:hAnsi="黑体"/>
        </w:rPr>
      </w:pPr>
      <w:r>
        <w:rPr>
          <w:rFonts w:hint="eastAsia" w:hAnsi="黑体"/>
        </w:rPr>
        <w:t>A.1.2水资源使用评价方法</w:t>
      </w:r>
    </w:p>
    <w:p>
      <w:pPr>
        <w:pStyle w:val="26"/>
        <w:rPr>
          <w:szCs w:val="21"/>
        </w:rPr>
      </w:pPr>
      <w:r>
        <w:rPr>
          <w:rFonts w:hint="eastAsia"/>
          <w:szCs w:val="21"/>
        </w:rPr>
        <w:t>水资源使用应按照表A.2给定的</w:t>
      </w:r>
      <w:bookmarkStart w:id="11" w:name="_GoBack"/>
      <w:bookmarkEnd w:id="11"/>
      <w:r>
        <w:rPr>
          <w:rFonts w:hint="eastAsia"/>
          <w:szCs w:val="21"/>
        </w:rPr>
        <w:t>指标记分方法，进行评价给出分值。</w:t>
      </w:r>
    </w:p>
    <w:p>
      <w:pPr>
        <w:pStyle w:val="34"/>
        <w:spacing w:before="120" w:after="120"/>
        <w:ind w:left="2977"/>
        <w:jc w:val="both"/>
        <w:rPr>
          <w:rFonts w:ascii="Times New Roman"/>
          <w:szCs w:val="21"/>
        </w:rPr>
      </w:pPr>
      <w:r>
        <w:rPr>
          <w:rFonts w:hint="eastAsia" w:ascii="Times New Roman"/>
          <w:szCs w:val="21"/>
        </w:rPr>
        <w:t>表A.2水资源使用指标记分方法</w:t>
      </w:r>
    </w:p>
    <w:tbl>
      <w:tblPr>
        <w:tblStyle w:val="17"/>
        <w:tblW w:w="903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44"/>
        <w:gridCol w:w="1805"/>
        <w:gridCol w:w="5141"/>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4"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05"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4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水资源使用</w:t>
            </w: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节水制度</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有水资源利用规划方案、节水制度和节水目标。</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8"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vMerge w:val="restart"/>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节水措施</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冷却水补水、加湿系统等部分使用非传统水源。</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采用符合《节水型产品技术条件与管理通则》GB/T 18870要求的节水器具。</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对用水设备输水设施进行日常维护和定期巡查，损坏管件及时更换，防止破管、渗水、漏水。</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水资源分项计量</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按使用用途，对空调系统、卫生间、景观及绿化、非传统水源等用水分别设置用水计量装置，统计用水量。</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节水目标</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节水目标实现。</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40" w:type="dxa"/>
            <w:tcBorders>
              <w:top w:val="single" w:color="auto" w:sz="4" w:space="0"/>
              <w:left w:val="single" w:color="auto" w:sz="8" w:space="0"/>
              <w:bottom w:val="single" w:color="auto" w:sz="4" w:space="0"/>
              <w:right w:val="single" w:color="auto" w:sz="4" w:space="0"/>
            </w:tcBorders>
            <w:vAlign w:val="center"/>
          </w:tcPr>
          <w:p>
            <w:pPr>
              <w:pStyle w:val="23"/>
              <w:widowControl/>
              <w:numPr>
                <w:ilvl w:val="0"/>
                <w:numId w:val="6"/>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持续改进</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定期(至少每年1次)对节水目标进行评估、回顾节水制度及节水措施的效果，识别改进机会，制定改进措施、修订有关制度，确保水资源管理目标符合有关要求和本组织需要，并能够实现。</w:t>
            </w:r>
          </w:p>
        </w:tc>
        <w:tc>
          <w:tcPr>
            <w:tcW w:w="709"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3"/>
        <w:spacing w:before="120" w:after="120"/>
        <w:rPr>
          <w:rFonts w:hAnsi="黑体"/>
        </w:rPr>
      </w:pPr>
      <w:r>
        <w:rPr>
          <w:rFonts w:hint="eastAsia" w:hAnsi="黑体"/>
        </w:rPr>
        <w:t>A,1.3其他资源使用</w:t>
      </w:r>
    </w:p>
    <w:p>
      <w:pPr>
        <w:pStyle w:val="26"/>
        <w:rPr>
          <w:szCs w:val="21"/>
        </w:rPr>
      </w:pPr>
      <w:r>
        <w:rPr>
          <w:rFonts w:hint="eastAsia"/>
          <w:szCs w:val="21"/>
        </w:rPr>
        <w:t>其他资源使用应按照表A.3给定的指标记分方法，进行评价给出分值。</w:t>
      </w:r>
    </w:p>
    <w:p>
      <w:pPr>
        <w:pStyle w:val="34"/>
        <w:spacing w:before="120" w:after="120"/>
        <w:ind w:left="2977"/>
        <w:jc w:val="both"/>
        <w:rPr>
          <w:rFonts w:ascii="Times New Roman"/>
          <w:szCs w:val="21"/>
        </w:rPr>
      </w:pPr>
      <w:r>
        <w:rPr>
          <w:rFonts w:hint="eastAsia" w:ascii="Times New Roman"/>
          <w:szCs w:val="21"/>
        </w:rPr>
        <w:t>表A.3其他资源使用指标记分方法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44"/>
        <w:gridCol w:w="1805"/>
        <w:gridCol w:w="5141"/>
        <w:gridCol w:w="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4"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05"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4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7"/>
              </w:numPr>
              <w:ind w:firstLineChars="0"/>
              <w:jc w:val="center"/>
              <w:rPr>
                <w:rFonts w:asciiTheme="minorEastAsia" w:hAnsiTheme="minorEastAsia" w:eastAsiaTheme="minorEastAsia"/>
                <w:szCs w:val="21"/>
              </w:rPr>
            </w:pPr>
          </w:p>
        </w:tc>
        <w:tc>
          <w:tcPr>
            <w:tcW w:w="744"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其他资源使用</w:t>
            </w: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资源种类识别</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识别本组织使用的其他资源的种类，确定需要采取节约措施或者优化使用效率措施的资源种类</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8" w:space="0"/>
              <w:right w:val="single" w:color="auto" w:sz="4" w:space="0"/>
            </w:tcBorders>
          </w:tcPr>
          <w:p>
            <w:pPr>
              <w:pStyle w:val="23"/>
              <w:widowControl/>
              <w:numPr>
                <w:ilvl w:val="0"/>
                <w:numId w:val="7"/>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节约/优化效率措施</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针对识别出的备用能源等其他资源，制定节约措施或优化运行组织措施，确保这些能源能够有效利用。</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7"/>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持续改进</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回顾这些措施的效果，识别改进机会，并采取改进措施。</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3"/>
        <w:spacing w:before="120" w:after="120"/>
        <w:rPr>
          <w:rFonts w:hAnsi="黑体"/>
        </w:rPr>
      </w:pPr>
      <w:r>
        <w:rPr>
          <w:rFonts w:hint="eastAsia" w:hAnsi="黑体"/>
        </w:rPr>
        <w:t>A.1.4资源循环利用</w:t>
      </w:r>
    </w:p>
    <w:p>
      <w:pPr>
        <w:pStyle w:val="26"/>
        <w:rPr>
          <w:szCs w:val="21"/>
        </w:rPr>
      </w:pPr>
      <w:r>
        <w:rPr>
          <w:rFonts w:hint="eastAsia"/>
          <w:szCs w:val="21"/>
        </w:rPr>
        <w:t>资源循环利用应按照表A.4给定的指标记分方法，进行评价给出分值。</w:t>
      </w:r>
    </w:p>
    <w:p>
      <w:pPr>
        <w:pStyle w:val="34"/>
        <w:spacing w:before="120" w:after="120"/>
        <w:ind w:left="2977"/>
        <w:jc w:val="both"/>
        <w:rPr>
          <w:rFonts w:ascii="Times New Roman"/>
          <w:szCs w:val="21"/>
        </w:rPr>
      </w:pPr>
      <w:r>
        <w:rPr>
          <w:rFonts w:hint="eastAsia" w:ascii="Times New Roman"/>
          <w:szCs w:val="21"/>
        </w:rPr>
        <w:t>表A.4</w:t>
      </w:r>
      <w:r>
        <w:rPr>
          <w:rFonts w:hint="eastAsia" w:hAnsi="黑体"/>
          <w:szCs w:val="21"/>
        </w:rPr>
        <w:t>资源循环利用</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44"/>
        <w:gridCol w:w="1805"/>
        <w:gridCol w:w="5113"/>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4"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05"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8"/>
              </w:numPr>
              <w:ind w:firstLineChars="0"/>
              <w:jc w:val="center"/>
              <w:rPr>
                <w:rFonts w:asciiTheme="minorEastAsia" w:hAnsiTheme="minorEastAsia" w:eastAsiaTheme="minorEastAsia"/>
                <w:szCs w:val="21"/>
              </w:rPr>
            </w:pPr>
          </w:p>
        </w:tc>
        <w:tc>
          <w:tcPr>
            <w:tcW w:w="744"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资源循环利用</w:t>
            </w: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废弃电器电子产品处理</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组织应制定利旧方案，对废旧设备设施进行充分利用，对无法自己利用的，与具有资质的回收处理企业签署回收处理协议。</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8" w:space="0"/>
              <w:right w:val="single" w:color="auto" w:sz="4" w:space="0"/>
            </w:tcBorders>
          </w:tcPr>
          <w:p>
            <w:pPr>
              <w:pStyle w:val="23"/>
              <w:widowControl/>
              <w:numPr>
                <w:ilvl w:val="0"/>
                <w:numId w:val="8"/>
              </w:numPr>
              <w:ind w:firstLineChars="0"/>
              <w:jc w:val="center"/>
              <w:rPr>
                <w:rFonts w:asciiTheme="minorEastAsia" w:hAnsiTheme="minorEastAsia" w:eastAsiaTheme="minorEastAsia"/>
                <w:szCs w:val="21"/>
              </w:rPr>
            </w:pPr>
          </w:p>
        </w:tc>
        <w:tc>
          <w:tcPr>
            <w:tcW w:w="744" w:type="dxa"/>
            <w:vMerge w:val="continue"/>
            <w:tcBorders>
              <w:left w:val="single" w:color="auto" w:sz="8" w:space="0"/>
              <w:bottom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资源再利用</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组织对可再利用材料、可再循环材料、余热等具有回收再利用的应用场景，制定并采取再利用措施方案。</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3"/>
        <w:spacing w:before="120" w:after="120"/>
        <w:rPr>
          <w:rFonts w:hAnsi="黑体"/>
        </w:rPr>
      </w:pPr>
      <w:r>
        <w:rPr>
          <w:rFonts w:hint="eastAsia" w:hAnsi="黑体"/>
        </w:rPr>
        <w:t>A.2最少化资源消耗要求</w:t>
      </w:r>
    </w:p>
    <w:p>
      <w:pPr>
        <w:pStyle w:val="33"/>
        <w:spacing w:before="120" w:after="120"/>
        <w:rPr>
          <w:rFonts w:hAnsi="黑体"/>
        </w:rPr>
      </w:pPr>
      <w:r>
        <w:rPr>
          <w:rFonts w:hint="eastAsia" w:hAnsi="黑体"/>
        </w:rPr>
        <w:t>A.2.1清洁能源与可再生资源利</w:t>
      </w:r>
    </w:p>
    <w:p>
      <w:pPr>
        <w:pStyle w:val="26"/>
        <w:rPr>
          <w:szCs w:val="21"/>
        </w:rPr>
      </w:pPr>
      <w:r>
        <w:rPr>
          <w:rFonts w:hint="eastAsia" w:hAnsi="黑体"/>
          <w:szCs w:val="21"/>
        </w:rPr>
        <w:t>清洁能源与可再生能源</w:t>
      </w:r>
      <w:r>
        <w:rPr>
          <w:rFonts w:hint="eastAsia"/>
          <w:szCs w:val="21"/>
        </w:rPr>
        <w:t>利用应按照表A.5给定的指标记分方法，进行评价给出分值。</w:t>
      </w:r>
    </w:p>
    <w:p>
      <w:pPr>
        <w:pStyle w:val="34"/>
        <w:spacing w:before="120" w:after="120"/>
        <w:ind w:left="2977"/>
        <w:jc w:val="both"/>
        <w:rPr>
          <w:rFonts w:ascii="Times New Roman"/>
          <w:szCs w:val="21"/>
        </w:rPr>
      </w:pPr>
      <w:r>
        <w:rPr>
          <w:rFonts w:hint="eastAsia" w:ascii="Times New Roman"/>
          <w:szCs w:val="21"/>
        </w:rPr>
        <w:t>表A.5</w:t>
      </w:r>
      <w:r>
        <w:rPr>
          <w:rFonts w:hint="eastAsia" w:hAnsi="黑体"/>
          <w:szCs w:val="21"/>
        </w:rPr>
        <w:t>清洁能源与可再生能源利用</w:t>
      </w:r>
      <w:r>
        <w:rPr>
          <w:rFonts w:hint="eastAsia" w:ascii="Times New Roman"/>
          <w:szCs w:val="21"/>
        </w:rPr>
        <w:t>指标记分方法</w:t>
      </w:r>
    </w:p>
    <w:tbl>
      <w:tblPr>
        <w:tblStyle w:val="17"/>
        <w:tblW w:w="908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16"/>
        <w:gridCol w:w="1833"/>
        <w:gridCol w:w="5113"/>
        <w:gridCol w:w="7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16"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33"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8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9"/>
              </w:numPr>
              <w:ind w:firstLineChars="0"/>
              <w:jc w:val="center"/>
              <w:rPr>
                <w:rFonts w:asciiTheme="minorEastAsia" w:hAnsiTheme="minorEastAsia" w:eastAsiaTheme="minorEastAsia"/>
                <w:szCs w:val="21"/>
              </w:rPr>
            </w:pPr>
          </w:p>
        </w:tc>
        <w:tc>
          <w:tcPr>
            <w:tcW w:w="2549" w:type="dxa"/>
            <w:gridSpan w:val="2"/>
            <w:tcBorders>
              <w:left w:val="single" w:color="auto" w:sz="8"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清洁能源与可再生能源利用</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组织应对太阳能、风能、水能等进行利用。</w:t>
            </w:r>
          </w:p>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无法证明公共电网中部分使用的此类能源是专供本组织使用的情形不作为本项得分依据。</w:t>
            </w:r>
          </w:p>
        </w:tc>
        <w:tc>
          <w:tcPr>
            <w:tcW w:w="78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3</w:t>
            </w:r>
          </w:p>
        </w:tc>
      </w:tr>
    </w:tbl>
    <w:p>
      <w:pPr>
        <w:pStyle w:val="33"/>
        <w:spacing w:before="120" w:after="120"/>
        <w:rPr>
          <w:rFonts w:hAnsi="黑体"/>
        </w:rPr>
      </w:pPr>
      <w:r>
        <w:rPr>
          <w:rFonts w:hint="eastAsia" w:hAnsi="黑体"/>
        </w:rPr>
        <w:t>A.2.2有害物质控制</w:t>
      </w:r>
    </w:p>
    <w:p>
      <w:pPr>
        <w:pStyle w:val="26"/>
        <w:rPr>
          <w:rFonts w:ascii="Times New Roman"/>
          <w:szCs w:val="21"/>
        </w:rPr>
      </w:pPr>
      <w:r>
        <w:rPr>
          <w:rFonts w:hint="eastAsia" w:ascii="Times New Roman"/>
          <w:szCs w:val="21"/>
        </w:rPr>
        <w:t>有害物质控制应按照表A.6给定</w:t>
      </w:r>
      <w:r>
        <w:rPr>
          <w:rFonts w:hint="eastAsia"/>
          <w:szCs w:val="21"/>
        </w:rPr>
        <w:t>的指标记分方法</w:t>
      </w:r>
      <w:r>
        <w:rPr>
          <w:rFonts w:hint="eastAsia" w:ascii="Times New Roman"/>
          <w:szCs w:val="21"/>
        </w:rPr>
        <w:t>，进行评价给出分值。</w:t>
      </w:r>
    </w:p>
    <w:p>
      <w:pPr>
        <w:pStyle w:val="34"/>
        <w:spacing w:before="120" w:after="120"/>
        <w:ind w:left="2977"/>
        <w:jc w:val="both"/>
        <w:rPr>
          <w:rFonts w:ascii="Times New Roman"/>
          <w:szCs w:val="21"/>
        </w:rPr>
      </w:pPr>
      <w:r>
        <w:rPr>
          <w:rFonts w:hint="eastAsia" w:ascii="Times New Roman"/>
          <w:szCs w:val="21"/>
        </w:rPr>
        <w:t>表A.6有害物质控制指标记分方法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16"/>
        <w:gridCol w:w="1833"/>
        <w:gridCol w:w="5113"/>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序号</w:t>
            </w:r>
          </w:p>
        </w:tc>
        <w:tc>
          <w:tcPr>
            <w:tcW w:w="716" w:type="dxa"/>
            <w:tcBorders>
              <w:left w:val="single" w:color="auto" w:sz="8"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评价内容</w:t>
            </w:r>
          </w:p>
        </w:tc>
        <w:tc>
          <w:tcPr>
            <w:tcW w:w="1833" w:type="dxa"/>
            <w:tcBorders>
              <w:left w:val="single" w:color="auto" w:sz="4"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0"/>
              </w:numPr>
              <w:ind w:firstLineChars="0"/>
              <w:jc w:val="center"/>
              <w:rPr>
                <w:rFonts w:eastAsiaTheme="minorEastAsia"/>
                <w:szCs w:val="21"/>
              </w:rPr>
            </w:pPr>
          </w:p>
        </w:tc>
        <w:tc>
          <w:tcPr>
            <w:tcW w:w="716" w:type="dxa"/>
            <w:tcBorders>
              <w:left w:val="single" w:color="auto" w:sz="8" w:space="0"/>
              <w:right w:val="single" w:color="auto" w:sz="4" w:space="0"/>
            </w:tcBorders>
            <w:vAlign w:val="center"/>
          </w:tcPr>
          <w:p>
            <w:pPr>
              <w:widowControl/>
              <w:jc w:val="left"/>
              <w:rPr>
                <w:rFonts w:eastAsiaTheme="minorEastAsia"/>
                <w:szCs w:val="21"/>
              </w:rPr>
            </w:pPr>
            <w:r>
              <w:rPr>
                <w:rFonts w:hint="eastAsia" w:eastAsiaTheme="minorEastAsia"/>
                <w:szCs w:val="21"/>
              </w:rPr>
              <w:t>有害物质控制</w:t>
            </w:r>
          </w:p>
        </w:tc>
        <w:tc>
          <w:tcPr>
            <w:tcW w:w="1833" w:type="dxa"/>
            <w:tcBorders>
              <w:left w:val="single" w:color="auto" w:sz="4" w:space="0"/>
              <w:right w:val="single" w:color="auto" w:sz="4" w:space="0"/>
            </w:tcBorders>
            <w:vAlign w:val="center"/>
          </w:tcPr>
          <w:p>
            <w:pPr>
              <w:rPr>
                <w:rFonts w:eastAsiaTheme="minorEastAsia"/>
                <w:szCs w:val="21"/>
              </w:rPr>
            </w:pPr>
            <w:r>
              <w:rPr>
                <w:rFonts w:hint="eastAsia" w:eastAsiaTheme="minorEastAsia"/>
                <w:szCs w:val="21"/>
              </w:rPr>
              <w:t>电子电气产品中限用物质的限量要求</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imes New Roman" w:eastAsiaTheme="minorEastAsia"/>
                <w:kern w:val="2"/>
                <w:szCs w:val="21"/>
              </w:rPr>
            </w:pPr>
            <w:r>
              <w:rPr>
                <w:rFonts w:hint="eastAsia" w:ascii="Times New Roman" w:eastAsiaTheme="minorEastAsia"/>
                <w:kern w:val="2"/>
                <w:szCs w:val="21"/>
              </w:rPr>
              <w:t>将有害物质控制要求纳入采购要求，优先采购符合《电器电子产品有害物质限制使用管理办法》规定或符合GB/T 26572的产品；对其他相关方施加影响，要求其部署到本数据中心的设备为符合《电器电子产品有害物质限制使用管理办法》规定或符合GB/T 26572的产品。</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1</w:t>
            </w:r>
          </w:p>
        </w:tc>
      </w:tr>
    </w:tbl>
    <w:p>
      <w:pPr>
        <w:pStyle w:val="33"/>
        <w:spacing w:before="120" w:after="120"/>
        <w:rPr>
          <w:rFonts w:hAnsi="黑体"/>
        </w:rPr>
      </w:pPr>
      <w:r>
        <w:rPr>
          <w:rFonts w:hint="eastAsia" w:hAnsi="黑体"/>
        </w:rPr>
        <w:t>A.2.3</w:t>
      </w:r>
      <w:r>
        <w:rPr>
          <w:rFonts w:hint="eastAsia"/>
        </w:rPr>
        <w:t>危险废物处置</w:t>
      </w:r>
    </w:p>
    <w:p>
      <w:pPr>
        <w:pStyle w:val="26"/>
        <w:rPr>
          <w:rFonts w:ascii="Times New Roman"/>
          <w:szCs w:val="21"/>
        </w:rPr>
      </w:pPr>
      <w:r>
        <w:rPr>
          <w:rFonts w:hint="eastAsia" w:ascii="Times New Roman"/>
          <w:szCs w:val="21"/>
        </w:rPr>
        <w:t>危险废物处置应按照表A.7给定</w:t>
      </w:r>
      <w:r>
        <w:rPr>
          <w:rFonts w:hint="eastAsia"/>
          <w:szCs w:val="21"/>
        </w:rPr>
        <w:t>的指标记分方法</w:t>
      </w:r>
      <w:r>
        <w:rPr>
          <w:rFonts w:hint="eastAsia" w:ascii="Times New Roman"/>
          <w:szCs w:val="21"/>
        </w:rPr>
        <w:t>，进行评价给出分值。</w:t>
      </w:r>
    </w:p>
    <w:p>
      <w:pPr>
        <w:pStyle w:val="34"/>
        <w:spacing w:before="120" w:after="120"/>
        <w:ind w:left="2977"/>
        <w:jc w:val="both"/>
        <w:rPr>
          <w:rFonts w:ascii="Times New Roman"/>
          <w:szCs w:val="21"/>
        </w:rPr>
      </w:pPr>
      <w:r>
        <w:rPr>
          <w:rFonts w:hint="eastAsia" w:ascii="Times New Roman"/>
          <w:szCs w:val="21"/>
        </w:rPr>
        <w:t>表A.7</w:t>
      </w:r>
      <w:r>
        <w:rPr>
          <w:rFonts w:hint="eastAsia"/>
          <w:szCs w:val="21"/>
        </w:rPr>
        <w:t>危险废物处置</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16"/>
        <w:gridCol w:w="1833"/>
        <w:gridCol w:w="5113"/>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序号</w:t>
            </w:r>
          </w:p>
        </w:tc>
        <w:tc>
          <w:tcPr>
            <w:tcW w:w="716" w:type="dxa"/>
            <w:tcBorders>
              <w:left w:val="single" w:color="auto" w:sz="8"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评价内容</w:t>
            </w:r>
          </w:p>
        </w:tc>
        <w:tc>
          <w:tcPr>
            <w:tcW w:w="1833" w:type="dxa"/>
            <w:tcBorders>
              <w:left w:val="single" w:color="auto" w:sz="4" w:space="0"/>
              <w:right w:val="single" w:color="auto" w:sz="4"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评价要求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1"/>
              </w:numPr>
              <w:ind w:firstLineChars="0"/>
              <w:jc w:val="center"/>
              <w:rPr>
                <w:rFonts w:eastAsiaTheme="minorEastAsia"/>
                <w:szCs w:val="21"/>
              </w:rPr>
            </w:pPr>
          </w:p>
        </w:tc>
        <w:tc>
          <w:tcPr>
            <w:tcW w:w="2549" w:type="dxa"/>
            <w:gridSpan w:val="2"/>
            <w:tcBorders>
              <w:left w:val="single" w:color="auto" w:sz="8" w:space="0"/>
              <w:right w:val="single" w:color="auto" w:sz="4" w:space="0"/>
            </w:tcBorders>
            <w:vAlign w:val="center"/>
          </w:tcPr>
          <w:p>
            <w:pPr>
              <w:jc w:val="center"/>
              <w:rPr>
                <w:rFonts w:eastAsiaTheme="minorEastAsia"/>
                <w:szCs w:val="21"/>
              </w:rPr>
            </w:pPr>
            <w:r>
              <w:rPr>
                <w:rFonts w:hint="eastAsia" w:eastAsiaTheme="minorEastAsia"/>
                <w:szCs w:val="21"/>
              </w:rPr>
              <w:t>危险废物处置</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imes New Roman" w:eastAsiaTheme="minorEastAsia"/>
                <w:kern w:val="2"/>
                <w:szCs w:val="21"/>
              </w:rPr>
            </w:pPr>
            <w:r>
              <w:rPr>
                <w:rFonts w:hint="eastAsia" w:ascii="Times New Roman" w:eastAsiaTheme="minorEastAsia"/>
                <w:kern w:val="2"/>
                <w:szCs w:val="21"/>
              </w:rPr>
              <w:t>组织应识别本数据中心产生的危险废物（包括但不限于废旧电池等），委托具有危险废物回收处置资质的组织进行回收处理，确保危险废物的处置符合属地政府部门的要求。进行跨省转运的，应符合双方及途径地区属地政府部门的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imes New Roman" w:eastAsiaTheme="minorEastAsia"/>
                <w:kern w:val="2"/>
                <w:szCs w:val="21"/>
              </w:rPr>
            </w:pPr>
            <w:r>
              <w:rPr>
                <w:rFonts w:hint="eastAsia" w:ascii="Times New Roman" w:eastAsiaTheme="minorEastAsia"/>
                <w:kern w:val="2"/>
                <w:szCs w:val="21"/>
              </w:rPr>
              <w:t>1</w:t>
            </w:r>
          </w:p>
        </w:tc>
      </w:tr>
    </w:tbl>
    <w:p>
      <w:pPr>
        <w:pStyle w:val="33"/>
        <w:spacing w:before="120" w:after="120"/>
        <w:rPr>
          <w:rFonts w:hAnsi="黑体"/>
        </w:rPr>
      </w:pPr>
      <w:r>
        <w:rPr>
          <w:rFonts w:hint="eastAsia" w:hAnsi="黑体"/>
        </w:rPr>
        <w:t>A.2.4</w:t>
      </w:r>
      <w:r>
        <w:rPr>
          <w:rFonts w:hint="eastAsia"/>
        </w:rPr>
        <w:t>环境影响管理</w:t>
      </w:r>
      <w:r>
        <w:rPr>
          <w:rFonts w:hint="eastAsia" w:hAnsi="黑体"/>
        </w:rPr>
        <w:t>评价方法</w:t>
      </w:r>
    </w:p>
    <w:p>
      <w:pPr>
        <w:pStyle w:val="26"/>
        <w:rPr>
          <w:szCs w:val="21"/>
        </w:rPr>
      </w:pPr>
      <w:r>
        <w:rPr>
          <w:rFonts w:hint="eastAsia"/>
          <w:szCs w:val="21"/>
        </w:rPr>
        <w:t>环境影响管理应按照表A.8给定的指标记分方法，进行评价给出分值。</w:t>
      </w:r>
    </w:p>
    <w:p>
      <w:pPr>
        <w:pStyle w:val="34"/>
        <w:spacing w:before="120" w:after="120"/>
        <w:ind w:left="2977"/>
        <w:jc w:val="both"/>
        <w:rPr>
          <w:rFonts w:ascii="Times New Roman"/>
          <w:szCs w:val="21"/>
        </w:rPr>
      </w:pPr>
      <w:r>
        <w:rPr>
          <w:rFonts w:hint="eastAsia" w:ascii="Times New Roman"/>
          <w:szCs w:val="21"/>
        </w:rPr>
        <w:t>表A.8</w:t>
      </w:r>
      <w:r>
        <w:rPr>
          <w:rFonts w:hint="eastAsia"/>
          <w:szCs w:val="21"/>
        </w:rPr>
        <w:t>环境影响管理</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17"/>
        <w:gridCol w:w="1833"/>
        <w:gridCol w:w="5141"/>
        <w:gridCol w:w="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17"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33"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4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2"/>
              </w:numPr>
              <w:ind w:firstLineChars="0"/>
              <w:jc w:val="center"/>
              <w:rPr>
                <w:rFonts w:asciiTheme="minorEastAsia" w:hAnsiTheme="minorEastAsia" w:eastAsiaTheme="minorEastAsia"/>
                <w:szCs w:val="21"/>
              </w:rPr>
            </w:pPr>
          </w:p>
        </w:tc>
        <w:tc>
          <w:tcPr>
            <w:tcW w:w="717"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环境影响管理</w:t>
            </w:r>
            <w:r>
              <w:rPr>
                <w:rFonts w:hint="eastAsia" w:asciiTheme="minorEastAsia" w:hAnsiTheme="minorEastAsia" w:eastAsiaTheme="minorEastAsia"/>
                <w:szCs w:val="21"/>
                <w:vertAlign w:val="subscript"/>
              </w:rPr>
              <w:t>注2</w:t>
            </w:r>
          </w:p>
        </w:tc>
        <w:tc>
          <w:tcPr>
            <w:tcW w:w="1833"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行政处罚</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最近3年，组织出现因违反环境保护法律法规要求被行政处罚的记录。（可通过采信组织自声明并结合诚信惩戒的方式验证）</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否决项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8" w:space="0"/>
              <w:right w:val="single" w:color="auto" w:sz="4" w:space="0"/>
            </w:tcBorders>
          </w:tcPr>
          <w:p>
            <w:pPr>
              <w:pStyle w:val="23"/>
              <w:widowControl/>
              <w:numPr>
                <w:ilvl w:val="0"/>
                <w:numId w:val="12"/>
              </w:numPr>
              <w:ind w:firstLineChars="0"/>
              <w:jc w:val="center"/>
              <w:rPr>
                <w:rFonts w:asciiTheme="minorEastAsia" w:hAnsiTheme="minorEastAsia" w:eastAsiaTheme="minorEastAsia"/>
                <w:szCs w:val="21"/>
              </w:rPr>
            </w:pPr>
          </w:p>
        </w:tc>
        <w:tc>
          <w:tcPr>
            <w:tcW w:w="717"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环境影响因素识别</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组织应定期（至少一年一次）进行环境影响因素识别</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2"/>
              </w:numPr>
              <w:ind w:firstLineChars="0"/>
              <w:jc w:val="center"/>
              <w:rPr>
                <w:rFonts w:asciiTheme="minorEastAsia" w:hAnsiTheme="minorEastAsia" w:eastAsiaTheme="minorEastAsia"/>
                <w:szCs w:val="21"/>
              </w:rPr>
            </w:pPr>
          </w:p>
        </w:tc>
        <w:tc>
          <w:tcPr>
            <w:tcW w:w="717"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环境影响事件处理</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近2年未出现环境影响事件和投诉（满分）</w:t>
            </w:r>
          </w:p>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出现环境影响事件和投诉，已妥善解决，并形成纠正和预防措施，获得相对人谅解（50%得分）</w:t>
            </w:r>
          </w:p>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有尚未办结的环境影响事件和投诉（0分）</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2"/>
              </w:numPr>
              <w:ind w:firstLineChars="0"/>
              <w:jc w:val="center"/>
              <w:rPr>
                <w:rFonts w:asciiTheme="minorEastAsia" w:hAnsiTheme="minorEastAsia" w:eastAsiaTheme="minorEastAsia"/>
                <w:szCs w:val="21"/>
              </w:rPr>
            </w:pPr>
          </w:p>
        </w:tc>
        <w:tc>
          <w:tcPr>
            <w:tcW w:w="717"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环境影响控制措施</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组织应对识别出的环境影响因素进行评估，并制定和采取控制措施。</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8" w:space="0"/>
              <w:right w:val="single" w:color="auto" w:sz="4" w:space="0"/>
            </w:tcBorders>
          </w:tcPr>
          <w:p>
            <w:pPr>
              <w:pStyle w:val="23"/>
              <w:widowControl/>
              <w:numPr>
                <w:ilvl w:val="0"/>
                <w:numId w:val="12"/>
              </w:numPr>
              <w:ind w:firstLineChars="0"/>
              <w:jc w:val="center"/>
              <w:rPr>
                <w:rFonts w:asciiTheme="minorEastAsia" w:hAnsiTheme="minorEastAsia" w:eastAsiaTheme="minorEastAsia"/>
                <w:szCs w:val="21"/>
              </w:rPr>
            </w:pPr>
          </w:p>
        </w:tc>
        <w:tc>
          <w:tcPr>
            <w:tcW w:w="717" w:type="dxa"/>
            <w:vMerge w:val="continue"/>
            <w:tcBorders>
              <w:left w:val="single" w:color="auto" w:sz="8" w:space="0"/>
              <w:bottom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持续改进</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组织应定期回顾环境影响管理的效果，识别改进机会，采取改进措施。</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5"/>
        <w:numPr>
          <w:ilvl w:val="0"/>
          <w:numId w:val="0"/>
        </w:numPr>
        <w:rPr>
          <w:rFonts w:ascii="黑体" w:hAnsi="黑体" w:eastAsia="黑体"/>
          <w:szCs w:val="24"/>
        </w:rPr>
      </w:pPr>
      <w:r>
        <w:rPr>
          <w:rFonts w:hint="eastAsia" w:ascii="黑体" w:hAnsi="黑体" w:eastAsia="黑体"/>
          <w:szCs w:val="24"/>
        </w:rPr>
        <w:t>注2：评估对象获得环境管理体系认证证书或者数据中心服务能力成熟度（GB/T 33136）认证证书，证书在有效期内且证书范围覆盖评估对象场所范围的，直接获得“环境影响管理”内容的全部得分。</w:t>
      </w:r>
    </w:p>
    <w:p>
      <w:pPr>
        <w:pStyle w:val="33"/>
        <w:spacing w:before="120" w:after="120"/>
        <w:rPr>
          <w:rFonts w:hAnsi="黑体"/>
        </w:rPr>
      </w:pPr>
      <w:r>
        <w:rPr>
          <w:rFonts w:hint="eastAsia" w:hAnsi="黑体"/>
        </w:rPr>
        <w:t xml:space="preserve">A.2.5 </w:t>
      </w:r>
      <w:r>
        <w:rPr>
          <w:rFonts w:hint="eastAsia"/>
        </w:rPr>
        <w:t>健康管理</w:t>
      </w:r>
    </w:p>
    <w:p>
      <w:pPr>
        <w:pStyle w:val="26"/>
        <w:rPr>
          <w:szCs w:val="21"/>
        </w:rPr>
      </w:pPr>
      <w:r>
        <w:rPr>
          <w:rFonts w:hint="eastAsia"/>
          <w:szCs w:val="21"/>
        </w:rPr>
        <w:t>职业健康管理应按照表A.9给定的指标记分方法，进行评价给出分值。</w:t>
      </w:r>
    </w:p>
    <w:p>
      <w:pPr>
        <w:pStyle w:val="34"/>
        <w:spacing w:before="120" w:after="120"/>
        <w:ind w:left="2977"/>
        <w:jc w:val="both"/>
        <w:rPr>
          <w:rFonts w:ascii="Times New Roman"/>
          <w:szCs w:val="21"/>
        </w:rPr>
      </w:pPr>
      <w:r>
        <w:rPr>
          <w:rFonts w:hint="eastAsia" w:ascii="Times New Roman"/>
          <w:szCs w:val="21"/>
        </w:rPr>
        <w:t>表A.9</w:t>
      </w:r>
      <w:r>
        <w:rPr>
          <w:rFonts w:hint="eastAsia"/>
          <w:szCs w:val="21"/>
        </w:rPr>
        <w:t>职业健康管理</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45"/>
        <w:gridCol w:w="1805"/>
        <w:gridCol w:w="5141"/>
        <w:gridCol w:w="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5"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05"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41"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3"/>
              </w:numPr>
              <w:ind w:firstLineChars="0"/>
              <w:jc w:val="center"/>
              <w:rPr>
                <w:rFonts w:asciiTheme="minorEastAsia" w:hAnsiTheme="minorEastAsia" w:eastAsiaTheme="minorEastAsia"/>
                <w:szCs w:val="21"/>
              </w:rPr>
            </w:pPr>
          </w:p>
        </w:tc>
        <w:tc>
          <w:tcPr>
            <w:tcW w:w="745"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职业健康管理</w:t>
            </w:r>
            <w:r>
              <w:rPr>
                <w:rFonts w:hint="eastAsia" w:asciiTheme="minorEastAsia" w:hAnsiTheme="minorEastAsia" w:eastAsiaTheme="minorEastAsia"/>
                <w:szCs w:val="21"/>
                <w:vertAlign w:val="subscript"/>
              </w:rPr>
              <w:t>注3</w:t>
            </w: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工伤事故</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最近3年出现达到致残等级以上的工伤事故的。</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否决项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8" w:space="0"/>
              <w:right w:val="single" w:color="auto" w:sz="4" w:space="0"/>
            </w:tcBorders>
          </w:tcPr>
          <w:p>
            <w:pPr>
              <w:pStyle w:val="23"/>
              <w:widowControl/>
              <w:numPr>
                <w:ilvl w:val="0"/>
                <w:numId w:val="13"/>
              </w:numPr>
              <w:ind w:firstLineChars="0"/>
              <w:jc w:val="center"/>
              <w:rPr>
                <w:rFonts w:asciiTheme="minorEastAsia" w:hAnsiTheme="minorEastAsia" w:eastAsiaTheme="minorEastAsia"/>
                <w:szCs w:val="21"/>
              </w:rPr>
            </w:pPr>
          </w:p>
        </w:tc>
        <w:tc>
          <w:tcPr>
            <w:tcW w:w="745"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危险源</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定期（至少一年一次）识别本数据中心的危险源并结合已经采取的控制措施进行评估</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3"/>
              </w:numPr>
              <w:ind w:firstLineChars="0"/>
              <w:jc w:val="center"/>
              <w:rPr>
                <w:rFonts w:asciiTheme="minorEastAsia" w:hAnsiTheme="minorEastAsia" w:eastAsiaTheme="minorEastAsia"/>
                <w:szCs w:val="21"/>
              </w:rPr>
            </w:pPr>
          </w:p>
        </w:tc>
        <w:tc>
          <w:tcPr>
            <w:tcW w:w="745"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控制措施</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针对危险源，制定预防和控制措施，并落实。</w:t>
            </w:r>
          </w:p>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控制措施可包括于人身安全管控措施、职业健康管控措施、物理环境管控措施等</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39" w:type="dxa"/>
            <w:tcBorders>
              <w:top w:val="single" w:color="auto" w:sz="4" w:space="0"/>
              <w:left w:val="single" w:color="auto" w:sz="8" w:space="0"/>
              <w:bottom w:val="single" w:color="auto" w:sz="4" w:space="0"/>
              <w:right w:val="single" w:color="auto" w:sz="4" w:space="0"/>
            </w:tcBorders>
          </w:tcPr>
          <w:p>
            <w:pPr>
              <w:pStyle w:val="23"/>
              <w:widowControl/>
              <w:numPr>
                <w:ilvl w:val="0"/>
                <w:numId w:val="13"/>
              </w:numPr>
              <w:ind w:firstLineChars="0"/>
              <w:jc w:val="center"/>
              <w:rPr>
                <w:rFonts w:asciiTheme="minorEastAsia" w:hAnsiTheme="minorEastAsia" w:eastAsiaTheme="minorEastAsia"/>
                <w:szCs w:val="21"/>
              </w:rPr>
            </w:pPr>
          </w:p>
        </w:tc>
        <w:tc>
          <w:tcPr>
            <w:tcW w:w="745"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持续改进</w:t>
            </w:r>
          </w:p>
        </w:tc>
        <w:tc>
          <w:tcPr>
            <w:tcW w:w="5141"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组织应定期回顾职业健康管理的效果，识别改进机会，采取改进措施。</w:t>
            </w:r>
          </w:p>
        </w:tc>
        <w:tc>
          <w:tcPr>
            <w:tcW w:w="730"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bl>
    <w:p>
      <w:pPr>
        <w:pStyle w:val="35"/>
        <w:numPr>
          <w:ilvl w:val="0"/>
          <w:numId w:val="0"/>
        </w:numPr>
        <w:rPr>
          <w:rFonts w:ascii="黑体" w:hAnsi="黑体" w:eastAsia="黑体"/>
          <w:szCs w:val="24"/>
        </w:rPr>
      </w:pPr>
      <w:r>
        <w:rPr>
          <w:rFonts w:hint="eastAsia" w:ascii="黑体" w:hAnsi="黑体" w:eastAsia="黑体"/>
          <w:szCs w:val="24"/>
        </w:rPr>
        <w:t>注3：评估对象获得职业健康管理体系认证证书或者数据中心服务能力成熟度（GB/T 33136）认证证书，证书在有效期内且证书范围覆盖评估对象场所范围的，直接获得“环境影响管理”内容的全部得分。</w:t>
      </w:r>
    </w:p>
    <w:p>
      <w:pPr>
        <w:pStyle w:val="33"/>
        <w:spacing w:before="120" w:after="120"/>
        <w:rPr>
          <w:rFonts w:hAnsi="黑体"/>
        </w:rPr>
      </w:pPr>
      <w:r>
        <w:rPr>
          <w:rFonts w:hint="eastAsia" w:hAnsi="黑体"/>
        </w:rPr>
        <w:t>A.3业务能力目标</w:t>
      </w:r>
    </w:p>
    <w:p>
      <w:pPr>
        <w:pStyle w:val="26"/>
        <w:rPr>
          <w:szCs w:val="21"/>
        </w:rPr>
      </w:pPr>
      <w:r>
        <w:rPr>
          <w:rFonts w:hint="eastAsia" w:hAnsi="黑体"/>
          <w:szCs w:val="21"/>
        </w:rPr>
        <w:t>业务能力目标</w:t>
      </w:r>
      <w:r>
        <w:rPr>
          <w:rFonts w:hint="eastAsia"/>
          <w:szCs w:val="21"/>
        </w:rPr>
        <w:t>应按照表A.10给定的指标记分方法，进行评价给出分值。</w:t>
      </w:r>
    </w:p>
    <w:p>
      <w:pPr>
        <w:pStyle w:val="34"/>
        <w:spacing w:before="120" w:after="120"/>
        <w:ind w:left="2977"/>
        <w:jc w:val="both"/>
        <w:rPr>
          <w:rFonts w:ascii="Times New Roman"/>
          <w:szCs w:val="21"/>
        </w:rPr>
      </w:pPr>
      <w:r>
        <w:rPr>
          <w:rFonts w:hint="eastAsia" w:ascii="Times New Roman"/>
          <w:szCs w:val="21"/>
        </w:rPr>
        <w:t>表A.10</w:t>
      </w:r>
      <w:r>
        <w:rPr>
          <w:rFonts w:hint="eastAsia" w:hAnsi="黑体"/>
          <w:szCs w:val="21"/>
        </w:rPr>
        <w:t>业务能力目标</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44"/>
        <w:gridCol w:w="1805"/>
        <w:gridCol w:w="5113"/>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44"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05"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4"/>
              </w:numPr>
              <w:ind w:firstLineChars="0"/>
              <w:jc w:val="center"/>
              <w:rPr>
                <w:rFonts w:asciiTheme="minorEastAsia" w:hAnsiTheme="minorEastAsia" w:eastAsiaTheme="minorEastAsia"/>
                <w:szCs w:val="21"/>
              </w:rPr>
            </w:pPr>
          </w:p>
        </w:tc>
        <w:tc>
          <w:tcPr>
            <w:tcW w:w="744"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业务能力目标</w:t>
            </w: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业务连续性要求</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最近2年发生过不能正常提供数据中心服务的严重事件或事态，符合下述情况之一的：</w:t>
            </w:r>
          </w:p>
          <w:p>
            <w:pPr>
              <w:pStyle w:val="26"/>
              <w:ind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长时间业务中断，中断时间超出设计目标或者SLA规定的。</w:t>
            </w:r>
          </w:p>
          <w:p>
            <w:pPr>
              <w:pStyle w:val="26"/>
              <w:ind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因数据中心自身原因，客户拒绝付款或者被上级部门考核不合格的。</w:t>
            </w:r>
          </w:p>
          <w:p>
            <w:pPr>
              <w:pStyle w:val="26"/>
              <w:ind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已出现上述事态，数据中心自身无法解决，依靠政府或公共部门干预解决的。</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否决项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8" w:space="0"/>
              <w:right w:val="single" w:color="auto" w:sz="4" w:space="0"/>
            </w:tcBorders>
          </w:tcPr>
          <w:p>
            <w:pPr>
              <w:pStyle w:val="23"/>
              <w:widowControl/>
              <w:numPr>
                <w:ilvl w:val="0"/>
                <w:numId w:val="14"/>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电力供应能力</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变压器输出、UPS输出、空调配电柜输出、列头柜输出、机柜输出电能质量满足国家标准GB/T 2887‐2011的相关要求。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4"/>
              </w:numPr>
              <w:ind w:firstLineChars="0"/>
              <w:jc w:val="center"/>
              <w:rPr>
                <w:rFonts w:asciiTheme="minorEastAsia" w:hAnsiTheme="minorEastAsia" w:eastAsiaTheme="minorEastAsia"/>
                <w:szCs w:val="21"/>
              </w:rPr>
            </w:pPr>
          </w:p>
        </w:tc>
        <w:tc>
          <w:tcPr>
            <w:tcW w:w="744"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05" w:type="dxa"/>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IT设备运行环境</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正压、风速、温度、湿度、照度、空气洁净度、噪声、电磁干扰等指标满足国家标准GB/T 2887‐2011的相关要求。对机房或冷通道内部的温度、湿度等环境指标在高度上进行多层次分层监测，并按照统一格式形成数据报表，具备统一上报功能。</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5</w:t>
            </w:r>
          </w:p>
        </w:tc>
      </w:tr>
    </w:tbl>
    <w:p>
      <w:pPr>
        <w:pStyle w:val="33"/>
        <w:spacing w:before="120" w:after="120"/>
        <w:rPr>
          <w:rFonts w:hAnsi="黑体"/>
        </w:rPr>
      </w:pPr>
      <w:r>
        <w:rPr>
          <w:rFonts w:hint="eastAsia" w:hAnsi="黑体"/>
        </w:rPr>
        <w:t>A.4相关方管理</w:t>
      </w:r>
    </w:p>
    <w:p>
      <w:pPr>
        <w:pStyle w:val="26"/>
        <w:rPr>
          <w:szCs w:val="21"/>
        </w:rPr>
      </w:pPr>
      <w:r>
        <w:rPr>
          <w:rFonts w:hint="eastAsia" w:hAnsi="黑体"/>
          <w:szCs w:val="21"/>
        </w:rPr>
        <w:t>相关方管理与影响</w:t>
      </w:r>
      <w:r>
        <w:rPr>
          <w:rFonts w:hint="eastAsia"/>
          <w:szCs w:val="21"/>
        </w:rPr>
        <w:t>应按照表A.11给定的指标记分方法，进行评价给出分值。</w:t>
      </w:r>
    </w:p>
    <w:p>
      <w:pPr>
        <w:pStyle w:val="34"/>
        <w:spacing w:before="120" w:after="120"/>
        <w:ind w:left="2977"/>
        <w:jc w:val="both"/>
        <w:rPr>
          <w:rFonts w:ascii="Times New Roman"/>
          <w:szCs w:val="21"/>
        </w:rPr>
      </w:pPr>
      <w:r>
        <w:rPr>
          <w:rFonts w:hint="eastAsia" w:ascii="Times New Roman"/>
          <w:szCs w:val="21"/>
        </w:rPr>
        <w:t>表A.11</w:t>
      </w:r>
      <w:r>
        <w:rPr>
          <w:rFonts w:hint="eastAsia" w:hAnsi="黑体"/>
          <w:szCs w:val="21"/>
        </w:rPr>
        <w:t>相关方管理与影响</w:t>
      </w:r>
      <w:r>
        <w:rPr>
          <w:rFonts w:hint="eastAsia" w:ascii="Times New Roman"/>
          <w:szCs w:val="21"/>
        </w:rPr>
        <w:t>指标记分方法</w:t>
      </w:r>
    </w:p>
    <w:tbl>
      <w:tblPr>
        <w:tblStyle w:val="1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16"/>
        <w:gridCol w:w="1833"/>
        <w:gridCol w:w="5113"/>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序号</w:t>
            </w:r>
          </w:p>
        </w:tc>
        <w:tc>
          <w:tcPr>
            <w:tcW w:w="716" w:type="dxa"/>
            <w:tcBorders>
              <w:left w:val="single" w:color="auto" w:sz="8"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评价内容</w:t>
            </w:r>
          </w:p>
        </w:tc>
        <w:tc>
          <w:tcPr>
            <w:tcW w:w="1833" w:type="dxa"/>
            <w:tcBorders>
              <w:left w:val="single" w:color="auto" w:sz="4" w:space="0"/>
              <w:right w:val="single" w:color="auto" w:sz="4"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评价项目</w:t>
            </w:r>
          </w:p>
        </w:tc>
        <w:tc>
          <w:tcPr>
            <w:tcW w:w="5113"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评价要求</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标准分值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restart"/>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r>
              <w:rPr>
                <w:rFonts w:hint="eastAsia" w:asciiTheme="minorEastAsia" w:hAnsiTheme="minorEastAsia" w:eastAsiaTheme="minorEastAsia"/>
                <w:szCs w:val="21"/>
              </w:rPr>
              <w:t>相关方管理与影响</w:t>
            </w:r>
          </w:p>
        </w:tc>
        <w:tc>
          <w:tcPr>
            <w:tcW w:w="1833" w:type="dxa"/>
            <w:vMerge w:val="restart"/>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供方管理</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对供方采取了必要的管理措施，包括合同约束、履约保证、到货验收、测试验证、服务评价等。</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有不合格供方退出机制</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c>
          <w:tcPr>
            <w:tcW w:w="640" w:type="dxa"/>
            <w:tcBorders>
              <w:top w:val="single" w:color="auto" w:sz="4" w:space="0"/>
              <w:left w:val="single" w:color="auto" w:sz="8" w:space="0"/>
              <w:bottom w:val="single" w:color="auto" w:sz="8"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客户及其他相关方</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对内部相关方（如独立的IT部门等）或外部相关方（客户及其合作伙伴、运营商等）部署到本数据中心的设施系统及其在本数据中心的活动满足本规范要求施加影响。</w:t>
            </w:r>
          </w:p>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必要的影响措施包括但不限于：合同约束、流程约束、签署责任书、告知等。</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vMerge w:val="restart"/>
            <w:tcBorders>
              <w:left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第三方服务</w:t>
            </w: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参评年度内可出具具有CNAS、CMA资质的第三方测试认证单位的检测报告。</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4"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continue"/>
            <w:tcBorders>
              <w:left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vMerge w:val="continue"/>
            <w:tcBorders>
              <w:left w:val="single" w:color="auto" w:sz="4" w:space="0"/>
              <w:right w:val="single" w:color="auto" w:sz="4" w:space="0"/>
            </w:tcBorders>
            <w:vAlign w:val="center"/>
          </w:tcPr>
          <w:p>
            <w:pPr>
              <w:rPr>
                <w:rFonts w:asciiTheme="minorEastAsia" w:hAnsiTheme="minorEastAsia" w:eastAsiaTheme="minorEastAsia"/>
                <w:szCs w:val="21"/>
              </w:rPr>
            </w:pP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采用工信部“绿色数据中心先进适用推广技术”等绿色节能技术。(每采用一项加1分,直到满分)</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8" w:space="0"/>
              <w:bottom w:val="single" w:color="auto" w:sz="8" w:space="0"/>
              <w:right w:val="single" w:color="auto" w:sz="4" w:space="0"/>
            </w:tcBorders>
          </w:tcPr>
          <w:p>
            <w:pPr>
              <w:pStyle w:val="23"/>
              <w:widowControl/>
              <w:numPr>
                <w:ilvl w:val="0"/>
                <w:numId w:val="15"/>
              </w:numPr>
              <w:ind w:firstLineChars="0"/>
              <w:jc w:val="center"/>
              <w:rPr>
                <w:rFonts w:asciiTheme="minorEastAsia" w:hAnsiTheme="minorEastAsia" w:eastAsiaTheme="minorEastAsia"/>
                <w:szCs w:val="21"/>
              </w:rPr>
            </w:pPr>
          </w:p>
        </w:tc>
        <w:tc>
          <w:tcPr>
            <w:tcW w:w="716" w:type="dxa"/>
            <w:vMerge w:val="continue"/>
            <w:tcBorders>
              <w:left w:val="single" w:color="auto" w:sz="8" w:space="0"/>
              <w:bottom w:val="single" w:color="auto" w:sz="8" w:space="0"/>
              <w:right w:val="single" w:color="auto" w:sz="4" w:space="0"/>
            </w:tcBorders>
            <w:vAlign w:val="center"/>
          </w:tcPr>
          <w:p>
            <w:pPr>
              <w:widowControl/>
              <w:jc w:val="left"/>
              <w:rPr>
                <w:rFonts w:asciiTheme="minorEastAsia" w:hAnsiTheme="minorEastAsia" w:eastAsiaTheme="minorEastAsia"/>
                <w:szCs w:val="21"/>
              </w:rPr>
            </w:pPr>
          </w:p>
        </w:tc>
        <w:tc>
          <w:tcPr>
            <w:tcW w:w="1833" w:type="dxa"/>
            <w:vMerge w:val="continue"/>
            <w:tcBorders>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p>
        </w:tc>
        <w:tc>
          <w:tcPr>
            <w:tcW w:w="5113" w:type="dxa"/>
            <w:tcBorders>
              <w:top w:val="single" w:color="auto" w:sz="4" w:space="0"/>
              <w:left w:val="single" w:color="auto" w:sz="4" w:space="0"/>
              <w:bottom w:val="single" w:color="auto" w:sz="4" w:space="0"/>
              <w:right w:val="single" w:color="auto" w:sz="8" w:space="0"/>
            </w:tcBorders>
          </w:tcPr>
          <w:p>
            <w:pPr>
              <w:pStyle w:val="26"/>
              <w:ind w:firstLine="0" w:firstLineChars="0"/>
              <w:rPr>
                <w:rFonts w:asciiTheme="minorEastAsia" w:hAnsiTheme="minorEastAsia" w:eastAsiaTheme="minorEastAsia"/>
                <w:kern w:val="2"/>
                <w:szCs w:val="21"/>
              </w:rPr>
            </w:pPr>
            <w:r>
              <w:rPr>
                <w:rFonts w:hint="eastAsia" w:asciiTheme="minorEastAsia" w:hAnsiTheme="minorEastAsia" w:eastAsiaTheme="minorEastAsia"/>
                <w:kern w:val="2"/>
                <w:szCs w:val="21"/>
              </w:rPr>
              <w:t>参评年度可出具具有CNAS标志的认证证书（职业健康管理体系认证证书、环境管理体系认证证书、信息技术服务管理体系认证证书、信息安全管理体系认证证书、能源管理体系认证证书、质量管理体系认证证书</w:t>
            </w:r>
            <w:r>
              <w:rPr>
                <w:rFonts w:hint="eastAsia" w:asciiTheme="minorEastAsia" w:hAnsiTheme="minorEastAsia" w:eastAsiaTheme="minorEastAsia"/>
                <w:kern w:val="2"/>
                <w:szCs w:val="21"/>
                <w:lang w:eastAsia="zh-CN"/>
              </w:rPr>
              <w:t>）</w:t>
            </w:r>
            <w:r>
              <w:rPr>
                <w:rFonts w:hint="eastAsia" w:asciiTheme="minorEastAsia" w:hAnsiTheme="minorEastAsia" w:eastAsiaTheme="minorEastAsia"/>
                <w:kern w:val="2"/>
                <w:szCs w:val="21"/>
              </w:rPr>
              <w:t>、数据中心服务能力成熟度（GB/T 33136）认证证书</w:t>
            </w:r>
            <w:r>
              <w:rPr>
                <w:rFonts w:hint="eastAsia" w:asciiTheme="minorEastAsia" w:hAnsiTheme="minorEastAsia" w:eastAsiaTheme="minorEastAsia"/>
                <w:kern w:val="2"/>
                <w:szCs w:val="21"/>
                <w:lang w:eastAsia="zh-CN"/>
              </w:rPr>
              <w:t>、业务连续性管理体系认证证书</w:t>
            </w:r>
            <w:r>
              <w:rPr>
                <w:rFonts w:hint="eastAsia" w:asciiTheme="minorEastAsia" w:hAnsiTheme="minorEastAsia" w:eastAsiaTheme="minorEastAsia"/>
                <w:kern w:val="2"/>
                <w:szCs w:val="21"/>
              </w:rPr>
              <w:t>(每提供一项加1分,直到满分)。</w:t>
            </w:r>
          </w:p>
        </w:tc>
        <w:tc>
          <w:tcPr>
            <w:tcW w:w="758" w:type="dxa"/>
            <w:tcBorders>
              <w:top w:val="single" w:color="auto" w:sz="4" w:space="0"/>
              <w:left w:val="single" w:color="auto" w:sz="4" w:space="0"/>
              <w:bottom w:val="single" w:color="auto" w:sz="4" w:space="0"/>
              <w:right w:val="single" w:color="auto" w:sz="8" w:space="0"/>
            </w:tcBorders>
            <w:vAlign w:val="center"/>
          </w:tcPr>
          <w:p>
            <w:pPr>
              <w:pStyle w:val="26"/>
              <w:ind w:firstLine="0" w:firstLineChars="0"/>
              <w:jc w:val="center"/>
              <w:rPr>
                <w:rFonts w:asciiTheme="minorEastAsia" w:hAnsiTheme="minorEastAsia" w:eastAsiaTheme="minorEastAsia"/>
                <w:kern w:val="2"/>
                <w:szCs w:val="21"/>
              </w:rPr>
            </w:pPr>
            <w:r>
              <w:rPr>
                <w:rFonts w:hint="eastAsia" w:asciiTheme="minorEastAsia" w:hAnsiTheme="minorEastAsia" w:eastAsiaTheme="minorEastAsia"/>
                <w:kern w:val="2"/>
                <w:szCs w:val="21"/>
              </w:rPr>
              <w:t>5</w:t>
            </w:r>
          </w:p>
        </w:tc>
      </w:tr>
    </w:tbl>
    <w:p>
      <w:pPr>
        <w:ind w:firstLine="420" w:firstLineChars="200"/>
        <w:rPr>
          <w:szCs w:val="21"/>
        </w:rPr>
      </w:pPr>
    </w:p>
    <w:p>
      <w:pPr>
        <w:ind w:firstLine="420" w:firstLineChars="200"/>
        <w:rPr>
          <w:szCs w:val="21"/>
        </w:rPr>
      </w:pPr>
      <w:r>
        <w:rPr>
          <w:rFonts w:hint="eastAsia"/>
          <w:szCs w:val="21"/>
        </w:rPr>
        <w:t>本规范起草单位：中国电子技术标准化研究院、中关村软件和信息绿色创新服务联盟、中国信息通信研究院、中科环电（北京）科技有限公司、北京</w:t>
      </w:r>
      <w:r>
        <w:rPr>
          <w:rFonts w:hint="eastAsia"/>
          <w:szCs w:val="21"/>
          <w:lang w:eastAsia="zh-CN"/>
        </w:rPr>
        <w:t>合创</w:t>
      </w:r>
      <w:r>
        <w:rPr>
          <w:rFonts w:hint="eastAsia"/>
          <w:szCs w:val="21"/>
        </w:rPr>
        <w:t>三众</w:t>
      </w:r>
      <w:r>
        <w:rPr>
          <w:rFonts w:hint="eastAsia"/>
          <w:szCs w:val="21"/>
          <w:lang w:eastAsia="zh-CN"/>
        </w:rPr>
        <w:t>能源科技股份有限公司</w:t>
      </w:r>
      <w:r>
        <w:rPr>
          <w:rFonts w:hint="eastAsia"/>
          <w:szCs w:val="21"/>
        </w:rPr>
        <w:t>、北京绿色之道技术发展有限公司。</w:t>
      </w:r>
    </w:p>
    <w:p>
      <w:pPr>
        <w:ind w:firstLine="420" w:firstLineChars="200"/>
        <w:rPr>
          <w:szCs w:val="21"/>
        </w:rPr>
      </w:pPr>
      <w:r>
        <w:rPr>
          <w:rFonts w:hint="eastAsia"/>
          <w:szCs w:val="21"/>
        </w:rPr>
        <w:t>主要起草人：徐艳阳、尤静、都康、赵祥伟、张军华、徐斌、刘宇、赵勇祥、高书辰、长晓微、林立、王月、李洁。</w:t>
      </w:r>
    </w:p>
    <w:p>
      <w:pPr>
        <w:jc w:val="left"/>
        <w:rPr>
          <w:rFonts w:hint="eastAsia" w:cs="Times New Roman"/>
          <w:kern w:val="2"/>
          <w:sz w:val="21"/>
          <w:lang w:val="en-US" w:eastAsia="zh-CN" w:bidi="ar-SA"/>
        </w:rPr>
      </w:pPr>
    </w:p>
    <w:sectPr>
      <w:footerReference r:id="rId7" w:type="default"/>
      <w:pgSz w:w="12240" w:h="15840"/>
      <w:pgMar w:top="2098" w:right="1474" w:bottom="1984" w:left="1587"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Noto Sans Mono CJK JP Regular">
    <w:altName w:val="仿宋"/>
    <w:panose1 w:val="00000000000000000000"/>
    <w:charset w:val="00"/>
    <w:family w:val="swiss"/>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3119" o:spid="_x0000_s311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w:r>
  </w:p>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561566"/>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124" o:spid="_x0000_s3124"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120" o:spid="_x0000_s312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33C"/>
    <w:multiLevelType w:val="multilevel"/>
    <w:tmpl w:val="0E7F433C"/>
    <w:lvl w:ilvl="0" w:tentative="0">
      <w:start w:val="1"/>
      <w:numFmt w:val="lowerLetter"/>
      <w:pStyle w:val="35"/>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36"/>
      <w:lvlText w:val="%2)"/>
      <w:lvlJc w:val="left"/>
      <w:pPr>
        <w:tabs>
          <w:tab w:val="left" w:pos="1260"/>
        </w:tabs>
        <w:ind w:left="1259" w:hanging="419"/>
      </w:pPr>
      <w:rPr>
        <w:rFonts w:hint="default" w:ascii="Times New Roman" w:hAnsi="Times New Roman" w:cs="Times New Roman"/>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86A437E"/>
    <w:multiLevelType w:val="multilevel"/>
    <w:tmpl w:val="186A4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C446D7"/>
    <w:multiLevelType w:val="multilevel"/>
    <w:tmpl w:val="2BC446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B8526DD"/>
    <w:multiLevelType w:val="multilevel"/>
    <w:tmpl w:val="3B852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6B50FC"/>
    <w:multiLevelType w:val="multilevel"/>
    <w:tmpl w:val="3E6B50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A46BE9"/>
    <w:multiLevelType w:val="multilevel"/>
    <w:tmpl w:val="45A46B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ED2DC2"/>
    <w:multiLevelType w:val="multilevel"/>
    <w:tmpl w:val="46ED2D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C6427B"/>
    <w:multiLevelType w:val="multilevel"/>
    <w:tmpl w:val="4AC642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C27917"/>
    <w:multiLevelType w:val="multilevel"/>
    <w:tmpl w:val="4FC279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D81119"/>
    <w:multiLevelType w:val="multilevel"/>
    <w:tmpl w:val="5CD811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7D3FBC"/>
    <w:multiLevelType w:val="multilevel"/>
    <w:tmpl w:val="657D3FBC"/>
    <w:lvl w:ilvl="0" w:tentative="0">
      <w:start w:val="1"/>
      <w:numFmt w:val="upperLetter"/>
      <w:pStyle w:val="37"/>
      <w:suff w:val="nothing"/>
      <w:lvlText w:val="附　录　%1"/>
      <w:lvlJc w:val="left"/>
      <w:pPr>
        <w:ind w:left="7514"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26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111" w:firstLine="0"/>
      </w:pPr>
      <w:rPr>
        <w:rFonts w:hint="eastAsia" w:ascii="黑体" w:hAnsi="Times New Roman" w:eastAsia="黑体"/>
        <w:b w:val="0"/>
        <w:i w:val="0"/>
        <w:sz w:val="21"/>
      </w:rPr>
    </w:lvl>
    <w:lvl w:ilvl="3" w:tentative="0">
      <w:start w:val="1"/>
      <w:numFmt w:val="decimal"/>
      <w:suff w:val="nothing"/>
      <w:lvlText w:val="%1.%2.%3.%4　"/>
      <w:lvlJc w:val="left"/>
      <w:pPr>
        <w:ind w:left="4111" w:firstLine="0"/>
      </w:pPr>
      <w:rPr>
        <w:rFonts w:hint="eastAsia" w:ascii="黑体" w:hAnsi="Times New Roman" w:eastAsia="黑体"/>
        <w:b w:val="0"/>
        <w:i w:val="0"/>
        <w:sz w:val="21"/>
      </w:rPr>
    </w:lvl>
    <w:lvl w:ilvl="4" w:tentative="0">
      <w:start w:val="1"/>
      <w:numFmt w:val="decimal"/>
      <w:suff w:val="nothing"/>
      <w:lvlText w:val="%1.%2.%3.%4.%5　"/>
      <w:lvlJc w:val="left"/>
      <w:pPr>
        <w:ind w:left="4111" w:firstLine="0"/>
      </w:pPr>
      <w:rPr>
        <w:rFonts w:hint="eastAsia" w:ascii="黑体" w:hAnsi="Times New Roman" w:eastAsia="黑体"/>
        <w:b w:val="0"/>
        <w:i w:val="0"/>
        <w:sz w:val="21"/>
      </w:rPr>
    </w:lvl>
    <w:lvl w:ilvl="5" w:tentative="0">
      <w:start w:val="1"/>
      <w:numFmt w:val="decimal"/>
      <w:suff w:val="nothing"/>
      <w:lvlText w:val="%1.%2.%3.%4.%5.%6　"/>
      <w:lvlJc w:val="left"/>
      <w:pPr>
        <w:ind w:left="4111" w:firstLine="0"/>
      </w:pPr>
      <w:rPr>
        <w:rFonts w:hint="eastAsia" w:ascii="黑体" w:hAnsi="Times New Roman" w:eastAsia="黑体"/>
        <w:b w:val="0"/>
        <w:i w:val="0"/>
        <w:sz w:val="21"/>
      </w:rPr>
    </w:lvl>
    <w:lvl w:ilvl="6" w:tentative="0">
      <w:start w:val="1"/>
      <w:numFmt w:val="decimal"/>
      <w:suff w:val="nothing"/>
      <w:lvlText w:val="%1.%2.%3.%4.%5.%6.%7　"/>
      <w:lvlJc w:val="left"/>
      <w:pPr>
        <w:ind w:left="4111" w:firstLine="0"/>
      </w:pPr>
      <w:rPr>
        <w:rFonts w:hint="eastAsia" w:ascii="黑体" w:hAnsi="Times New Roman" w:eastAsia="黑体"/>
        <w:b w:val="0"/>
        <w:i w:val="0"/>
        <w:sz w:val="21"/>
      </w:rPr>
    </w:lvl>
    <w:lvl w:ilvl="7" w:tentative="0">
      <w:start w:val="1"/>
      <w:numFmt w:val="decimal"/>
      <w:lvlText w:val="%1.%2.%3.%4.%5.%6.%7.%8"/>
      <w:lvlJc w:val="left"/>
      <w:pPr>
        <w:tabs>
          <w:tab w:val="left" w:pos="8505"/>
        </w:tabs>
        <w:ind w:left="8505" w:hanging="1418"/>
      </w:pPr>
      <w:rPr>
        <w:rFonts w:hint="eastAsia"/>
      </w:rPr>
    </w:lvl>
    <w:lvl w:ilvl="8" w:tentative="0">
      <w:start w:val="1"/>
      <w:numFmt w:val="decimal"/>
      <w:lvlText w:val="%1.%2.%3.%4.%5.%6.%7.%8.%9"/>
      <w:lvlJc w:val="left"/>
      <w:pPr>
        <w:tabs>
          <w:tab w:val="left" w:pos="9213"/>
        </w:tabs>
        <w:ind w:left="9213" w:hanging="1700"/>
      </w:pPr>
      <w:rPr>
        <w:rFonts w:hint="eastAsia"/>
      </w:rPr>
    </w:lvl>
  </w:abstractNum>
  <w:abstractNum w:abstractNumId="11">
    <w:nsid w:val="69523F4C"/>
    <w:multiLevelType w:val="multilevel"/>
    <w:tmpl w:val="69523F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C64BD5"/>
    <w:multiLevelType w:val="multilevel"/>
    <w:tmpl w:val="7AC64B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
  </w:num>
  <w:num w:numId="8">
    <w:abstractNumId w:val="4"/>
  </w:num>
  <w:num w:numId="9">
    <w:abstractNumId w:val="2"/>
  </w:num>
  <w:num w:numId="10">
    <w:abstractNumId w:val="3"/>
  </w:num>
  <w:num w:numId="11">
    <w:abstractNumId w:val="5"/>
  </w:num>
  <w:num w:numId="12">
    <w:abstractNumId w:val="9"/>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500"/>
  <w:drawingGridHorizontalSpacing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suppressSpBfAfterPgBrk/>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B7CB9"/>
    <w:rsid w:val="000D6215"/>
    <w:rsid w:val="000D65EA"/>
    <w:rsid w:val="001E5632"/>
    <w:rsid w:val="00207AE0"/>
    <w:rsid w:val="0047684D"/>
    <w:rsid w:val="0058384D"/>
    <w:rsid w:val="005D40E7"/>
    <w:rsid w:val="00906BEE"/>
    <w:rsid w:val="00976E4E"/>
    <w:rsid w:val="00A6178B"/>
    <w:rsid w:val="00C7629D"/>
    <w:rsid w:val="00DA2C51"/>
    <w:rsid w:val="00E81408"/>
    <w:rsid w:val="00EB7CB9"/>
    <w:rsid w:val="00EE41A9"/>
    <w:rsid w:val="00F71829"/>
    <w:rsid w:val="2DD7452F"/>
    <w:rsid w:val="2FF72B03"/>
    <w:rsid w:val="35F8B80D"/>
    <w:rsid w:val="36FF1ECF"/>
    <w:rsid w:val="37770450"/>
    <w:rsid w:val="39BF00A0"/>
    <w:rsid w:val="3F7BAC3D"/>
    <w:rsid w:val="3FA7E9CF"/>
    <w:rsid w:val="3FBF9254"/>
    <w:rsid w:val="3FD617FF"/>
    <w:rsid w:val="3FF7D8CE"/>
    <w:rsid w:val="3FFFDA43"/>
    <w:rsid w:val="42BFA067"/>
    <w:rsid w:val="46D5B534"/>
    <w:rsid w:val="4FFFB71D"/>
    <w:rsid w:val="54FFE8E5"/>
    <w:rsid w:val="57AD2FC8"/>
    <w:rsid w:val="5BFB044C"/>
    <w:rsid w:val="5BFD1FEF"/>
    <w:rsid w:val="5ED3FDBF"/>
    <w:rsid w:val="5FD6F9CC"/>
    <w:rsid w:val="62BC5FB0"/>
    <w:rsid w:val="695F9419"/>
    <w:rsid w:val="6DADEA88"/>
    <w:rsid w:val="6FE74AFB"/>
    <w:rsid w:val="73EB7849"/>
    <w:rsid w:val="77FB81E2"/>
    <w:rsid w:val="7B3F7B64"/>
    <w:rsid w:val="7C376DBE"/>
    <w:rsid w:val="7C7B06C2"/>
    <w:rsid w:val="7CDF3EAD"/>
    <w:rsid w:val="7DD2405C"/>
    <w:rsid w:val="7E7ECA07"/>
    <w:rsid w:val="7EC76775"/>
    <w:rsid w:val="7EDD9036"/>
    <w:rsid w:val="7EDF72E5"/>
    <w:rsid w:val="7F7C62BC"/>
    <w:rsid w:val="7F9D832F"/>
    <w:rsid w:val="7FBF3BDC"/>
    <w:rsid w:val="7FBF5C7B"/>
    <w:rsid w:val="7FDAA123"/>
    <w:rsid w:val="7FEF7056"/>
    <w:rsid w:val="8BBF6F14"/>
    <w:rsid w:val="9E3B43BE"/>
    <w:rsid w:val="9F7F5D3E"/>
    <w:rsid w:val="9FEC5CEB"/>
    <w:rsid w:val="B6FD62BB"/>
    <w:rsid w:val="B7CF075D"/>
    <w:rsid w:val="BA7B23C6"/>
    <w:rsid w:val="BCF4F31F"/>
    <w:rsid w:val="BD2253EB"/>
    <w:rsid w:val="BDB6E6B5"/>
    <w:rsid w:val="BDCF161C"/>
    <w:rsid w:val="BFE4B07C"/>
    <w:rsid w:val="BFFBD837"/>
    <w:rsid w:val="CA6F28F2"/>
    <w:rsid w:val="CFFF74A7"/>
    <w:rsid w:val="D7BB4D4D"/>
    <w:rsid w:val="D7DD9B97"/>
    <w:rsid w:val="D7FF9505"/>
    <w:rsid w:val="D9B54B87"/>
    <w:rsid w:val="DBFA7939"/>
    <w:rsid w:val="DDFFC978"/>
    <w:rsid w:val="DF8DF2E9"/>
    <w:rsid w:val="ECB74B86"/>
    <w:rsid w:val="ED9BCAD4"/>
    <w:rsid w:val="EDE372E8"/>
    <w:rsid w:val="EE9FAEE8"/>
    <w:rsid w:val="EFBFD0A9"/>
    <w:rsid w:val="F27F0913"/>
    <w:rsid w:val="F3DD65EA"/>
    <w:rsid w:val="F7BFDD55"/>
    <w:rsid w:val="F8E7323B"/>
    <w:rsid w:val="F9B76953"/>
    <w:rsid w:val="FC7F8A82"/>
    <w:rsid w:val="FE734873"/>
    <w:rsid w:val="FEB54088"/>
    <w:rsid w:val="FEE6E0C5"/>
    <w:rsid w:val="FEF7EF46"/>
    <w:rsid w:val="FF6F3032"/>
    <w:rsid w:val="FF974AC1"/>
    <w:rsid w:val="FF9BF693"/>
    <w:rsid w:val="FFEDE4D4"/>
    <w:rsid w:val="FFFB58C9"/>
    <w:rsid w:val="FFFF1155"/>
    <w:rsid w:val="FFFFE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48"/>
      <w:szCs w:val="48"/>
    </w:rPr>
  </w:style>
  <w:style w:type="character" w:default="1" w:styleId="11">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2"/>
    <w:semiHidden/>
    <w:unhideWhenUsed/>
    <w:qFormat/>
    <w:uiPriority w:val="99"/>
    <w:rPr>
      <w:b/>
      <w:bCs/>
    </w:rPr>
  </w:style>
  <w:style w:type="paragraph" w:styleId="4">
    <w:name w:val="annotation text"/>
    <w:basedOn w:val="1"/>
    <w:link w:val="21"/>
    <w:semiHidden/>
    <w:unhideWhenUsed/>
    <w:qFormat/>
    <w:uiPriority w:val="99"/>
    <w:pPr>
      <w:jc w:val="left"/>
    </w:pPr>
  </w:style>
  <w:style w:type="paragraph" w:styleId="5">
    <w:name w:val="Body Text"/>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6">
    <w:name w:val="Balloon Text"/>
    <w:basedOn w:val="1"/>
    <w:link w:val="19"/>
    <w:unhideWhenUsed/>
    <w:qFormat/>
    <w:uiPriority w:val="99"/>
    <w:rPr>
      <w:sz w:val="18"/>
      <w:szCs w:val="18"/>
    </w:rPr>
  </w:style>
  <w:style w:type="paragraph" w:styleId="7">
    <w:name w:val="footer"/>
    <w:basedOn w:val="1"/>
    <w:semiHidden/>
    <w:unhideWhenUsed/>
    <w:qFormat/>
    <w:uiPriority w:val="0"/>
    <w:pPr>
      <w:tabs>
        <w:tab w:val="center" w:pos="4153"/>
        <w:tab w:val="right" w:pos="8306"/>
      </w:tabs>
      <w:snapToGrid w:val="0"/>
      <w:jc w:val="left"/>
    </w:pPr>
    <w:rPr>
      <w:sz w:val="18"/>
    </w:rPr>
  </w:style>
  <w:style w:type="paragraph" w:styleId="8">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semiHidden/>
    <w:unhideWhenUsed/>
    <w:qFormat/>
    <w:uiPriority w:val="99"/>
    <w:pPr>
      <w:jc w:val="left"/>
    </w:pPr>
    <w:rPr>
      <w:kern w:val="0"/>
      <w:sz w:val="24"/>
    </w:rPr>
  </w:style>
  <w:style w:type="character" w:styleId="12">
    <w:name w:val="page number"/>
    <w:basedOn w:val="11"/>
    <w:semiHidden/>
    <w:unhideWhenUsed/>
    <w:qFormat/>
    <w:uiPriority w:val="99"/>
  </w:style>
  <w:style w:type="character" w:styleId="13">
    <w:name w:val="Emphasis"/>
    <w:basedOn w:val="11"/>
    <w:qFormat/>
    <w:uiPriority w:val="20"/>
  </w:style>
  <w:style w:type="character" w:styleId="14">
    <w:name w:val="Hyperlink"/>
    <w:semiHidden/>
    <w:unhideWhenUsed/>
    <w:qFormat/>
    <w:uiPriority w:val="99"/>
    <w:rPr>
      <w:color w:val="0000FF"/>
      <w:u w:val="single"/>
    </w:rPr>
  </w:style>
  <w:style w:type="character" w:styleId="15">
    <w:name w:val="annotation reference"/>
    <w:semiHidden/>
    <w:unhideWhenUsed/>
    <w:qFormat/>
    <w:uiPriority w:val="99"/>
    <w:rPr>
      <w:sz w:val="21"/>
      <w:szCs w:val="21"/>
    </w:rPr>
  </w:style>
  <w:style w:type="character" w:styleId="16">
    <w:name w:val="footnote reference"/>
    <w:unhideWhenUsed/>
    <w:qFormat/>
    <w:uiPriority w:val="99"/>
    <w:rPr>
      <w:vertAlign w:val="superscript"/>
    </w:rPr>
  </w:style>
  <w:style w:type="table" w:styleId="18">
    <w:name w:val="Table Grid"/>
    <w:basedOn w:val="1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Char"/>
    <w:link w:val="6"/>
    <w:qFormat/>
    <w:uiPriority w:val="99"/>
    <w:rPr>
      <w:kern w:val="2"/>
      <w:sz w:val="18"/>
      <w:szCs w:val="18"/>
    </w:rPr>
  </w:style>
  <w:style w:type="character" w:customStyle="1" w:styleId="20">
    <w:name w:val="批注框文本 Char1"/>
    <w:semiHidden/>
    <w:qFormat/>
    <w:uiPriority w:val="99"/>
    <w:rPr>
      <w:kern w:val="2"/>
      <w:sz w:val="18"/>
      <w:szCs w:val="18"/>
    </w:rPr>
  </w:style>
  <w:style w:type="character" w:customStyle="1" w:styleId="21">
    <w:name w:val="批注文字 Char"/>
    <w:link w:val="4"/>
    <w:semiHidden/>
    <w:qFormat/>
    <w:uiPriority w:val="99"/>
    <w:rPr>
      <w:kern w:val="2"/>
      <w:sz w:val="21"/>
    </w:rPr>
  </w:style>
  <w:style w:type="character" w:customStyle="1" w:styleId="22">
    <w:name w:val="批注主题 Char"/>
    <w:link w:val="3"/>
    <w:semiHidden/>
    <w:qFormat/>
    <w:uiPriority w:val="99"/>
    <w:rPr>
      <w:b/>
      <w:bCs/>
      <w:kern w:val="2"/>
      <w:sz w:val="21"/>
    </w:rPr>
  </w:style>
  <w:style w:type="paragraph" w:styleId="23">
    <w:name w:val="List Paragraph"/>
    <w:basedOn w:val="1"/>
    <w:qFormat/>
    <w:uiPriority w:val="34"/>
    <w:pPr>
      <w:ind w:firstLine="420" w:firstLineChars="200"/>
    </w:pPr>
    <w:rPr>
      <w:szCs w:val="22"/>
    </w:rPr>
  </w:style>
  <w:style w:type="character" w:customStyle="1" w:styleId="24">
    <w:name w:val="标题 Char"/>
    <w:link w:val="25"/>
    <w:qFormat/>
    <w:uiPriority w:val="0"/>
    <w:rPr>
      <w:rFonts w:ascii="黑体" w:hAnsi="黑体" w:eastAsia="黑体"/>
      <w:b/>
      <w:sz w:val="36"/>
    </w:rPr>
  </w:style>
  <w:style w:type="paragraph" w:customStyle="1" w:styleId="25">
    <w:name w:val="标题1"/>
    <w:basedOn w:val="1"/>
    <w:next w:val="1"/>
    <w:link w:val="24"/>
    <w:qFormat/>
    <w:uiPriority w:val="0"/>
    <w:pPr>
      <w:spacing w:before="240" w:after="60"/>
      <w:jc w:val="center"/>
      <w:outlineLvl w:val="0"/>
    </w:pPr>
    <w:rPr>
      <w:rFonts w:ascii="黑体" w:hAnsi="黑体" w:eastAsia="黑体"/>
      <w:b/>
      <w:kern w:val="0"/>
      <w:sz w:val="36"/>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
    <w:name w:val="其他发布部门"/>
    <w:basedOn w:val="30"/>
    <w:qFormat/>
    <w:uiPriority w:val="0"/>
    <w:pPr>
      <w:framePr w:y="15310"/>
      <w:spacing w:line="0" w:lineRule="atLeast"/>
    </w:pPr>
    <w:rPr>
      <w:rFonts w:ascii="黑体" w:eastAsia="黑体"/>
      <w:b w:val="0"/>
    </w:rPr>
  </w:style>
  <w:style w:type="paragraph" w:customStyle="1" w:styleId="30">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1">
    <w:name w:val="章标题"/>
    <w:next w:val="26"/>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32">
    <w:name w:val="二级条标题"/>
    <w:basedOn w:val="33"/>
    <w:next w:val="26"/>
    <w:qFormat/>
    <w:uiPriority w:val="0"/>
    <w:pPr>
      <w:spacing w:before="50" w:after="50"/>
      <w:outlineLvl w:val="3"/>
    </w:pPr>
  </w:style>
  <w:style w:type="paragraph" w:customStyle="1" w:styleId="33">
    <w:name w:val="一级条标题"/>
    <w:next w:val="2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4">
    <w:name w:val="正文表标题"/>
    <w:next w:val="2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35">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36">
    <w:name w:val="数字编号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37">
    <w:name w:val="附录标识"/>
    <w:basedOn w:val="1"/>
    <w:next w:val="26"/>
    <w:qFormat/>
    <w:uiPriority w:val="0"/>
    <w:pPr>
      <w:keepNext/>
      <w:widowControl/>
      <w:numPr>
        <w:ilvl w:val="0"/>
        <w:numId w:val="2"/>
      </w:numPr>
      <w:shd w:val="clear" w:color="FFFFFF" w:fill="FFFFFF"/>
      <w:tabs>
        <w:tab w:val="left" w:pos="6405"/>
      </w:tabs>
      <w:spacing w:before="640" w:after="280"/>
      <w:jc w:val="center"/>
      <w:outlineLvl w:val="0"/>
    </w:pPr>
    <w:rPr>
      <w:rFonts w:ascii="黑体" w:eastAsia="黑体"/>
      <w:kern w:val="0"/>
      <w:szCs w:val="20"/>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119" textRotate="1"/>
    <customShpInfo spid="_x0000_s3124" textRotate="1"/>
    <customShpInfo spid="_x0000_s312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50</Pages>
  <Words>22883</Words>
  <Characters>24591</Characters>
  <Lines>12</Lines>
  <Paragraphs>3</Paragraphs>
  <TotalTime>40</TotalTime>
  <ScaleCrop>false</ScaleCrop>
  <LinksUpToDate>false</LinksUpToDate>
  <CharactersWithSpaces>25099</CharactersWithSpaces>
  <Application>WPS Office_10.8.0.7041_F1E327BC-269C-435d-A152-05C5408002CA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2017-09-26T21:49:00Z</dcterms:created>
  <dc:creator>admin</dc:creator>
  <cp:lastModifiedBy>耿恩泽</cp:lastModifiedBy>
  <cp:lastPrinted>2019-05-15T15:32:00Z</cp:lastPrinted>
  <dcterms:modified xsi:type="dcterms:W3CDTF">2023-05-11T16:45:23Z</dcterms:modified>
  <dc:title>工业和信息化部办公厅关于开展绿色制造体系建设的通知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ies>
</file>