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both"/>
        <w:textAlignment w:val="auto"/>
        <w:rPr>
          <w:rFonts w:hint="eastAsia" w:ascii="Times New Roman" w:hAnsi="Times New Roman" w:eastAsia="黑体" w:cs="Times New Roman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</w:rPr>
        <w:t>附件</w:t>
      </w:r>
      <w:r>
        <w:rPr>
          <w:rFonts w:hint="default" w:ascii="Times New Roman" w:hAnsi="Times New Roman" w:eastAsia="黑体" w:cs="Times New Roman"/>
        </w:rPr>
        <w:t>1</w:t>
      </w:r>
      <w:r>
        <w:rPr>
          <w:rFonts w:hint="eastAsia" w:ascii="Times New Roman" w:hAnsi="Times New Roman" w:eastAsia="黑体" w:cs="Times New Roman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60" w:firstLineChars="100"/>
        <w:jc w:val="center"/>
        <w:textAlignment w:val="auto"/>
        <w:rPr>
          <w:rFonts w:hint="eastAsia" w:ascii="Times New Roman" w:hAnsi="Times New Roman" w:eastAsia="方正小标宋简体" w:cs="方正小标宋简体"/>
          <w:bCs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Cs/>
          <w:sz w:val="36"/>
          <w:szCs w:val="36"/>
        </w:rPr>
        <w:t>专属服务产品分类表</w:t>
      </w:r>
    </w:p>
    <w:tbl>
      <w:tblPr>
        <w:tblStyle w:val="17"/>
        <w:tblW w:w="14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7"/>
        <w:gridCol w:w="3164"/>
        <w:gridCol w:w="3461"/>
        <w:gridCol w:w="4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tblHeader/>
        </w:trPr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0"/>
                <w:lang w:val="en-US" w:eastAsia="zh-CN"/>
              </w:rPr>
              <w:t>服务产品类型</w:t>
            </w: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0"/>
              </w:rPr>
              <w:t>细分领域</w:t>
            </w:r>
          </w:p>
        </w:tc>
        <w:tc>
          <w:tcPr>
            <w:tcW w:w="3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0"/>
                <w:lang w:val="en-US" w:eastAsia="zh-CN"/>
              </w:rPr>
              <w:t>服务产品类型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0"/>
              </w:rPr>
              <w:t>细分领域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A加强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  <w:t>信贷支持</w:t>
            </w: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  <w:t>A1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专属信贷产品</w:t>
            </w:r>
          </w:p>
        </w:tc>
        <w:tc>
          <w:tcPr>
            <w:tcW w:w="34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B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畅通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  <w:t>市场化融资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渠道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B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1上市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辅导与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保荐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  <w:t>A2融资担保</w:t>
            </w:r>
          </w:p>
        </w:tc>
        <w:tc>
          <w:tcPr>
            <w:tcW w:w="34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B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债券融资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A3金融科技</w:t>
            </w:r>
          </w:p>
        </w:tc>
        <w:tc>
          <w:tcPr>
            <w:tcW w:w="34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B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私募股权和产业基金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3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A4信用培植和增级</w:t>
            </w:r>
          </w:p>
        </w:tc>
        <w:tc>
          <w:tcPr>
            <w:tcW w:w="34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B4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供应链金融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3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A5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其他__</w:t>
            </w:r>
          </w:p>
        </w:tc>
        <w:tc>
          <w:tcPr>
            <w:tcW w:w="34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B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其他__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助力开拓市场</w:t>
            </w: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1新型营销渠道</w:t>
            </w:r>
          </w:p>
        </w:tc>
        <w:tc>
          <w:tcPr>
            <w:tcW w:w="34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D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  <w:t>提升企业创新能力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D1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技术成果转移转化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C2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展览展销/跨境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撮合</w:t>
            </w:r>
          </w:p>
        </w:tc>
        <w:tc>
          <w:tcPr>
            <w:tcW w:w="34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D2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小试中试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和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工程化应用验证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C3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电子招采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交易</w:t>
            </w:r>
          </w:p>
        </w:tc>
        <w:tc>
          <w:tcPr>
            <w:tcW w:w="34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D3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国际创新资源引进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3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C4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出口信用保险</w:t>
            </w:r>
          </w:p>
        </w:tc>
        <w:tc>
          <w:tcPr>
            <w:tcW w:w="34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D4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大型实验室仪器设备共享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3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5其他__</w:t>
            </w:r>
          </w:p>
        </w:tc>
        <w:tc>
          <w:tcPr>
            <w:tcW w:w="34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D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其他__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E推动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  <w:t>产业链协同创新</w:t>
            </w: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E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1共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性技术研发</w:t>
            </w:r>
          </w:p>
        </w:tc>
        <w:tc>
          <w:tcPr>
            <w:tcW w:w="34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F强化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精准对接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F1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“一站式”公共服务平台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E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供需配套对接</w:t>
            </w:r>
          </w:p>
        </w:tc>
        <w:tc>
          <w:tcPr>
            <w:tcW w:w="34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F2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企业画像与对标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E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战略规划咨询服务</w:t>
            </w:r>
          </w:p>
        </w:tc>
        <w:tc>
          <w:tcPr>
            <w:tcW w:w="34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F3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云上路演推介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3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1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E4其他</w:t>
            </w:r>
          </w:p>
        </w:tc>
        <w:tc>
          <w:tcPr>
            <w:tcW w:w="34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F4空间载体服务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3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1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34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F5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其他__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G加快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  <w:t>数字化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智能化绿色化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  <w:t>转型</w:t>
            </w: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G1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垂直行业工业互联网</w:t>
            </w:r>
          </w:p>
        </w:tc>
        <w:tc>
          <w:tcPr>
            <w:tcW w:w="34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H加强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  <w:t>人才智力支持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1中高端人才招聘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G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2上云用云</w:t>
            </w:r>
          </w:p>
        </w:tc>
        <w:tc>
          <w:tcPr>
            <w:tcW w:w="34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2中高层管理人员培训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G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3智慧工厂/智能生产线</w:t>
            </w:r>
          </w:p>
        </w:tc>
        <w:tc>
          <w:tcPr>
            <w:tcW w:w="34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3职称评审与技能评级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3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G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4节能诊断和低碳改造</w:t>
            </w:r>
          </w:p>
        </w:tc>
        <w:tc>
          <w:tcPr>
            <w:tcW w:w="34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工程师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志愿服务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3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G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5其他__</w:t>
            </w:r>
          </w:p>
        </w:tc>
        <w:tc>
          <w:tcPr>
            <w:tcW w:w="34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5其他__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I推进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质量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管理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和品牌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建设</w:t>
            </w: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1国际国家行业标准制定</w:t>
            </w:r>
          </w:p>
        </w:tc>
        <w:tc>
          <w:tcPr>
            <w:tcW w:w="34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J强化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知识产权保护和运用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J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1高价值专利培育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2高精密计量检测仪器</w:t>
            </w:r>
          </w:p>
        </w:tc>
        <w:tc>
          <w:tcPr>
            <w:tcW w:w="34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J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2专利预警与导航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3质量管理体系认证</w:t>
            </w:r>
          </w:p>
        </w:tc>
        <w:tc>
          <w:tcPr>
            <w:tcW w:w="34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J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3知识产权维权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3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4品牌策划和推广</w:t>
            </w:r>
          </w:p>
        </w:tc>
        <w:tc>
          <w:tcPr>
            <w:tcW w:w="34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J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4知识产权质押融资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3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5其他__</w:t>
            </w:r>
          </w:p>
        </w:tc>
        <w:tc>
          <w:tcPr>
            <w:tcW w:w="34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J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5其他__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K推动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工业设计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赋能</w:t>
            </w: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K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1产品/机械/包装等设计</w:t>
            </w:r>
          </w:p>
        </w:tc>
        <w:tc>
          <w:tcPr>
            <w:tcW w:w="34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L提供专业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法律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咨询</w:t>
            </w: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1跨境投资与并购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K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2数据库/模型库/工具库</w:t>
            </w:r>
          </w:p>
        </w:tc>
        <w:tc>
          <w:tcPr>
            <w:tcW w:w="34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证券与资本市场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K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3协同设计平台</w:t>
            </w:r>
          </w:p>
        </w:tc>
        <w:tc>
          <w:tcPr>
            <w:tcW w:w="34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3企业合规业务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3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K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4其他__</w:t>
            </w:r>
          </w:p>
        </w:tc>
        <w:tc>
          <w:tcPr>
            <w:tcW w:w="34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4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4其他__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textAlignment w:val="auto"/>
      </w:pPr>
    </w:p>
    <w:p>
      <w:pPr>
        <w:ind w:left="0" w:leftChars="0" w:firstLine="0" w:firstLineChars="0"/>
        <w:sectPr>
          <w:headerReference r:id="rId3" w:type="default"/>
          <w:footerReference r:id="rId4" w:type="default"/>
          <w:pgSz w:w="16838" w:h="11906" w:orient="landscape"/>
          <w:pgMar w:top="1361" w:right="2098" w:bottom="1247" w:left="1984" w:header="851" w:footer="992" w:gutter="0"/>
          <w:cols w:space="0" w:num="1"/>
          <w:rtlGutter w:val="0"/>
          <w:docGrid w:type="lines" w:linePitch="43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textAlignment w:val="auto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bCs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Cs/>
          <w:sz w:val="36"/>
          <w:szCs w:val="36"/>
        </w:rPr>
        <w:t>专属服务产品信息表</w:t>
      </w:r>
    </w:p>
    <w:p>
      <w:pPr>
        <w:pStyle w:val="2"/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600" w:lineRule="exact"/>
        <w:ind w:firstLine="0"/>
        <w:textAlignment w:val="auto"/>
        <w:rPr>
          <w:rFonts w:hint="eastAsia" w:ascii="Times New Roman" w:hAnsi="Times New Roman" w:eastAsia="楷体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楷体_GB2312"/>
          <w:color w:val="000000"/>
          <w:sz w:val="32"/>
          <w:szCs w:val="32"/>
          <w:lang w:eastAsia="zh-CN"/>
        </w:rPr>
        <w:t>服务机构</w:t>
      </w:r>
      <w:r>
        <w:rPr>
          <w:rFonts w:hint="eastAsia" w:ascii="Times New Roman" w:hAnsi="Times New Roman" w:eastAsia="楷体_GB2312"/>
          <w:color w:val="000000"/>
          <w:sz w:val="32"/>
          <w:szCs w:val="32"/>
        </w:rPr>
        <w:t>名称（盖章）：</w:t>
      </w:r>
      <w:r>
        <w:rPr>
          <w:rFonts w:hint="eastAsia" w:ascii="Times New Roman" w:hAnsi="Times New Roman" w:eastAsia="楷体_GB2312"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Times New Roman" w:hAnsi="Times New Roman" w:eastAsia="楷体_GB2312"/>
          <w:color w:val="000000"/>
          <w:sz w:val="32"/>
          <w:szCs w:val="32"/>
          <w:u w:val="single"/>
          <w:lang w:val="en-US" w:eastAsia="zh-CN"/>
        </w:rPr>
        <w:t xml:space="preserve"> </w:t>
      </w:r>
    </w:p>
    <w:tbl>
      <w:tblPr>
        <w:tblStyle w:val="1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2507"/>
        <w:gridCol w:w="2318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  <w:t>服务产品名称</w:t>
            </w:r>
          </w:p>
        </w:tc>
        <w:tc>
          <w:tcPr>
            <w:tcW w:w="2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  <w:t>联系人及联系方式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  <w:szCs w:val="24"/>
              </w:rPr>
              <w:t>服务对象</w:t>
            </w:r>
            <w:r>
              <w:rPr>
                <w:rFonts w:hint="eastAsia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所属行业</w:t>
            </w:r>
          </w:p>
        </w:tc>
        <w:tc>
          <w:tcPr>
            <w:tcW w:w="2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行业名称：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none"/>
                <w:lang w:val="en-US" w:eastAsia="zh-CN"/>
              </w:rPr>
              <w:t>（可填多个）</w:t>
            </w:r>
          </w:p>
        </w:tc>
        <w:tc>
          <w:tcPr>
            <w:tcW w:w="2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  <w:szCs w:val="24"/>
              </w:rPr>
              <w:t>咨询电话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（可对外发布方便对接）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注册时间</w:t>
            </w:r>
          </w:p>
        </w:tc>
        <w:tc>
          <w:tcPr>
            <w:tcW w:w="2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从业人数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服务中小企业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2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/>
                <w:b w:val="0"/>
                <w:bCs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24"/>
                <w:szCs w:val="24"/>
                <w:lang w:eastAsia="zh-CN"/>
              </w:rPr>
              <w:t>服务中小企业数量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u w:val="single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24"/>
                <w:szCs w:val="24"/>
                <w:lang w:eastAsia="zh-CN"/>
              </w:rPr>
              <w:t>其中：专精特新中小企业数量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24"/>
                <w:szCs w:val="24"/>
                <w:lang w:eastAsia="zh-CN"/>
              </w:rPr>
              <w:t>专精特新“小巨人”企业数量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</w:tc>
        <w:tc>
          <w:tcPr>
            <w:tcW w:w="2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  <w:t>给予专精特新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  <w:t>中小企业的独享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  <w:t>价格或专属优惠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65" w:hRule="atLeast"/>
        </w:trPr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  <w:t>服务产品类型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（参考附件3：专属服务产品分类表）</w:t>
            </w:r>
          </w:p>
        </w:tc>
        <w:tc>
          <w:tcPr>
            <w:tcW w:w="6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u w:val="singl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服务产品类型：代码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u w:val="none"/>
                <w:lang w:eastAsia="zh-CN"/>
              </w:rPr>
              <w:t>名称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Times New Roman" w:hAnsi="Times New Roman"/>
                <w:color w:val="00000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u w:val="none"/>
                <w:lang w:eastAsia="zh-CN"/>
              </w:rPr>
              <w:t>细分领域：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u w:val="none"/>
                <w:lang w:eastAsia="zh-CN"/>
              </w:rPr>
              <w:t>代码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u w:val="none"/>
                <w:lang w:eastAsia="zh-CN"/>
              </w:rPr>
              <w:t>名称：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若服务产品不属于专属服务产品分类表所列类型，请填写：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服务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  <w:lang w:eastAsia="zh-CN"/>
              </w:rPr>
              <w:t>机构简介</w:t>
            </w:r>
          </w:p>
        </w:tc>
        <w:tc>
          <w:tcPr>
            <w:tcW w:w="6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（不超过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200字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2" w:hRule="atLeast"/>
        </w:trPr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  <w:t>专属服务产品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  <w:t>简介</w:t>
            </w:r>
          </w:p>
        </w:tc>
        <w:tc>
          <w:tcPr>
            <w:tcW w:w="6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、服务产品的主要应用领域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、服务产品的核心功能与鲜明特色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、服务产品解决专精特新中小企业的共性和关键需求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、服务产品的实施效果、用户评价以及市场推广应用情况等等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（不超过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00字）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填报说明：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1.“服务对象所属行业”以服务机构主要服务的中小企业所属行业为准，如不区分行业的，填写“不分区行业提供服务”。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2.“服务中小企业数量”中，中小企业标准以《统计上大中小微型企业划分办法（2017）》为准，“专精特新中小企业”为全国范围内的省级专精特新，专精特新“小巨人”企业为全国范围内省级专精特新“小巨人”及国家级专精特新“小巨人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3.“专属服务产品简介”应说明服务项目收费标准，对专精特新中小企业设置的专享权益、专属增值服务等，重点突出服务产品的实施效果，对专精特新中小企业实际带来的价值，并使用量化数据说明。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4.提供服务“专精特新”企业名单、与“专精特新”企业签订的服务协议（如涉及商业秘密，可脱密处理，仅需展示双方企业名称、服务内容、金额、合同期限）。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5.对申报材料真实性的声明，需法定代表人签字并加盖申报单位公章。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服务机构需审慎填报相关数据，并对数据真实性负责。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textAlignment w:val="auto"/>
        <w:rPr>
          <w:rFonts w:hint="eastAsia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textAlignment w:val="auto"/>
        <w:rPr>
          <w:rFonts w:hint="eastAsia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textAlignment w:val="auto"/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。</w:t>
      </w:r>
    </w:p>
    <w:p>
      <w:pPr>
        <w:pStyle w:val="2"/>
        <w:rPr>
          <w:rFonts w:hint="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textAlignment w:val="auto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bCs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Cs/>
          <w:sz w:val="36"/>
          <w:szCs w:val="36"/>
        </w:rPr>
        <w:t>专属服务产品推荐汇总表</w:t>
      </w:r>
    </w:p>
    <w:p>
      <w:pPr>
        <w:pStyle w:val="2"/>
      </w:pPr>
    </w:p>
    <w:p>
      <w:pPr>
        <w:pStyle w:val="4"/>
        <w:keepNext w:val="0"/>
        <w:keepLines w:val="0"/>
        <w:pageBreakBefore w:val="0"/>
        <w:widowControl w:val="0"/>
        <w:tabs>
          <w:tab w:val="left" w:pos="1124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600" w:lineRule="exact"/>
        <w:ind w:firstLine="0"/>
        <w:textAlignment w:val="auto"/>
        <w:rPr>
          <w:rFonts w:ascii="Times New Roman" w:hAnsi="Times New Roman" w:eastAsia="楷体_GB2312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楷体_GB2312"/>
          <w:color w:val="000000"/>
          <w:sz w:val="32"/>
          <w:szCs w:val="32"/>
          <w:lang w:eastAsia="zh-CN"/>
        </w:rPr>
        <w:t>省级中小企业主管部门</w:t>
      </w:r>
      <w:r>
        <w:rPr>
          <w:rFonts w:hint="eastAsia" w:ascii="Times New Roman" w:hAnsi="Times New Roman" w:eastAsia="楷体_GB2312"/>
          <w:color w:val="000000"/>
          <w:sz w:val="32"/>
          <w:szCs w:val="32"/>
        </w:rPr>
        <w:t>（盖章）：</w:t>
      </w:r>
      <w:r>
        <w:rPr>
          <w:rFonts w:hint="eastAsia" w:ascii="Times New Roman" w:hAnsi="Times New Roman" w:eastAsia="楷体_GB2312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Times New Roman" w:hAnsi="Times New Roman" w:eastAsia="楷体_GB2312"/>
          <w:color w:val="000000"/>
          <w:sz w:val="32"/>
          <w:szCs w:val="32"/>
        </w:rPr>
        <w:t xml:space="preserve">      联络员及联系方式：</w:t>
      </w:r>
      <w:r>
        <w:rPr>
          <w:rFonts w:hint="eastAsia" w:ascii="Times New Roman" w:hAnsi="Times New Roman" w:eastAsia="楷体_GB2312"/>
          <w:color w:val="000000"/>
          <w:sz w:val="32"/>
          <w:szCs w:val="32"/>
          <w:u w:val="single"/>
        </w:rPr>
        <w:t xml:space="preserve">                                  </w:t>
      </w:r>
    </w:p>
    <w:tbl>
      <w:tblPr>
        <w:tblStyle w:val="17"/>
        <w:tblW w:w="14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40"/>
        <w:gridCol w:w="799"/>
        <w:gridCol w:w="1049"/>
        <w:gridCol w:w="1049"/>
        <w:gridCol w:w="1049"/>
        <w:gridCol w:w="952"/>
        <w:gridCol w:w="952"/>
        <w:gridCol w:w="961"/>
        <w:gridCol w:w="876"/>
        <w:gridCol w:w="876"/>
        <w:gridCol w:w="1375"/>
        <w:gridCol w:w="1381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3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40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</w:rPr>
              <w:t>服务产品名称</w:t>
            </w:r>
          </w:p>
        </w:tc>
        <w:tc>
          <w:tcPr>
            <w:tcW w:w="799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</w:rPr>
              <w:t>服务</w:t>
            </w: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  <w:lang w:eastAsia="zh-CN"/>
              </w:rPr>
              <w:t>机构</w:t>
            </w: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049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</w:rPr>
              <w:t>服务产品类型</w:t>
            </w:r>
          </w:p>
        </w:tc>
        <w:tc>
          <w:tcPr>
            <w:tcW w:w="1049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  <w:lang w:eastAsia="zh-CN"/>
              </w:rPr>
              <w:t>注册时间</w:t>
            </w:r>
          </w:p>
        </w:tc>
        <w:tc>
          <w:tcPr>
            <w:tcW w:w="1049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  <w:lang w:eastAsia="zh-CN"/>
              </w:rPr>
              <w:t>从业人数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jc w:val="center"/>
              <w:textAlignment w:val="auto"/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</w:rPr>
              <w:t>服务</w:t>
            </w: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  <w:lang w:eastAsia="zh-CN"/>
              </w:rPr>
              <w:t>中小</w:t>
            </w: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</w:rPr>
              <w:t>企业数量</w:t>
            </w:r>
          </w:p>
        </w:tc>
        <w:tc>
          <w:tcPr>
            <w:tcW w:w="87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  <w:lang w:eastAsia="zh-CN"/>
              </w:rPr>
              <w:t>服务对象所属行业</w:t>
            </w:r>
          </w:p>
        </w:tc>
        <w:tc>
          <w:tcPr>
            <w:tcW w:w="87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</w:rPr>
              <w:t>联系人及联系方式</w:t>
            </w:r>
          </w:p>
        </w:tc>
        <w:tc>
          <w:tcPr>
            <w:tcW w:w="1375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</w:rPr>
              <w:t>咨询电话（可对外发布方便对接）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</w:rPr>
              <w:t>给予专精特新中小企业的独享价格或专属优惠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</w:rPr>
              <w:t>核心功能与鲜明特色</w:t>
            </w: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200字以内</w:t>
            </w: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723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</w:pPr>
          </w:p>
        </w:tc>
        <w:tc>
          <w:tcPr>
            <w:tcW w:w="79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</w:pPr>
          </w:p>
        </w:tc>
        <w:tc>
          <w:tcPr>
            <w:tcW w:w="95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jc w:val="center"/>
              <w:textAlignment w:val="auto"/>
              <w:rPr>
                <w:rFonts w:hint="default" w:ascii="Times New Roman" w:hAnsi="Times New Roman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总计</w:t>
            </w:r>
          </w:p>
        </w:tc>
        <w:tc>
          <w:tcPr>
            <w:tcW w:w="95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hint="default" w:ascii="Times New Roman" w:hAnsi="Times New Roman" w:eastAsia="仿宋_GB2312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专精特新中小企业</w:t>
            </w:r>
          </w:p>
        </w:tc>
        <w:tc>
          <w:tcPr>
            <w:tcW w:w="96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hint="default" w:ascii="Times New Roman" w:hAnsi="Times New Roman" w:eastAsia="仿宋_GB2312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专精特新“小巨人”企业</w:t>
            </w:r>
          </w:p>
        </w:tc>
        <w:tc>
          <w:tcPr>
            <w:tcW w:w="87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hint="default" w:ascii="Times New Roman" w:hAnsi="Times New Roman" w:eastAsia="黑体" w:cs="黑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hint="default" w:ascii="Times New Roman" w:hAnsi="Times New Roman" w:eastAsia="黑体" w:cs="黑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75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hint="default" w:ascii="Times New Roman" w:hAnsi="Times New Roman" w:eastAsia="黑体" w:cs="黑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hint="default" w:ascii="Times New Roman" w:hAnsi="Times New Roman" w:eastAsia="黑体" w:cs="黑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hint="default" w:ascii="Times New Roman" w:hAnsi="Times New Roman" w:eastAsia="黑体" w:cs="黑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jc w:val="center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jc w:val="center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1" w:hRule="atLeast"/>
        </w:trPr>
        <w:tc>
          <w:tcPr>
            <w:tcW w:w="7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jc w:val="center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2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240" w:lineRule="auto"/>
              <w:textAlignment w:val="auto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textAlignment w:val="auto"/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firstLine="0" w:firstLineChars="0"/>
      <w:jc w:val="center"/>
      <w:textAlignment w:val="auto"/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8</w:t>
    </w:r>
    <w:r>
      <w:rPr>
        <w:rFonts w:ascii="Times New Roman" w:hAnsi="Times New Roman" w:cs="Times New Roman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60"/>
  <w:drawingGridVerticalSpacing w:val="22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5C225CB"/>
    <w:rsid w:val="31C16A29"/>
    <w:rsid w:val="38F3DD3A"/>
    <w:rsid w:val="3D644353"/>
    <w:rsid w:val="7FFF24CA"/>
    <w:rsid w:val="BBCFC9C2"/>
    <w:rsid w:val="BD6B9C07"/>
    <w:rsid w:val="BE5CB141"/>
    <w:rsid w:val="BFA9681C"/>
    <w:rsid w:val="F5BD584F"/>
    <w:rsid w:val="F7BD6982"/>
    <w:rsid w:val="F7E66131"/>
    <w:rsid w:val="FF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等线" w:hAnsi="等线" w:eastAsia="仿宋_GB2312" w:cs="宋体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qFormat/>
    <w:uiPriority w:val="1"/>
  </w:style>
  <w:style w:type="table" w:default="1" w:styleId="16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520" w:lineRule="exact"/>
    </w:pPr>
    <w:rPr>
      <w:sz w:val="28"/>
      <w:szCs w:val="21"/>
    </w:rPr>
  </w:style>
  <w:style w:type="paragraph" w:styleId="3">
    <w:name w:val="annotation text"/>
    <w:basedOn w:val="1"/>
    <w:qFormat/>
    <w:uiPriority w:val="99"/>
    <w:pPr>
      <w:jc w:val="left"/>
    </w:pPr>
  </w:style>
  <w:style w:type="paragraph" w:styleId="4">
    <w:name w:val="Body Text"/>
    <w:basedOn w:val="1"/>
    <w:link w:val="21"/>
    <w:qFormat/>
    <w:uiPriority w:val="99"/>
    <w:pPr>
      <w:spacing w:before="100" w:beforeAutospacing="1" w:after="120" w:line="240" w:lineRule="auto"/>
      <w:ind w:firstLine="0" w:firstLineChars="0"/>
    </w:pPr>
    <w:rPr>
      <w:rFonts w:eastAsia="宋体" w:cs="Times New Roman"/>
      <w:sz w:val="21"/>
      <w:szCs w:val="21"/>
    </w:rPr>
  </w:style>
  <w:style w:type="paragraph" w:styleId="5">
    <w:name w:val="Balloon Text"/>
    <w:basedOn w:val="1"/>
    <w:link w:val="22"/>
    <w:qFormat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771CAA"/>
      <w:u w:val="none"/>
    </w:rPr>
  </w:style>
  <w:style w:type="character" w:styleId="12">
    <w:name w:val="Emphasis"/>
    <w:basedOn w:val="9"/>
    <w:qFormat/>
    <w:uiPriority w:val="0"/>
    <w:rPr>
      <w:color w:val="F73131"/>
    </w:rPr>
  </w:style>
  <w:style w:type="character" w:styleId="13">
    <w:name w:val="Hyperlink"/>
    <w:basedOn w:val="9"/>
    <w:qFormat/>
    <w:uiPriority w:val="0"/>
    <w:rPr>
      <w:color w:val="0000FF"/>
      <w:u w:val="single"/>
    </w:rPr>
  </w:style>
  <w:style w:type="character" w:styleId="14">
    <w:name w:val="annotation reference"/>
    <w:basedOn w:val="9"/>
    <w:qFormat/>
    <w:uiPriority w:val="0"/>
    <w:rPr>
      <w:sz w:val="21"/>
      <w:szCs w:val="21"/>
    </w:rPr>
  </w:style>
  <w:style w:type="character" w:styleId="15">
    <w:name w:val="HTML Cite"/>
    <w:basedOn w:val="9"/>
    <w:qFormat/>
    <w:uiPriority w:val="0"/>
    <w:rPr>
      <w:color w:val="008000"/>
    </w:rPr>
  </w:style>
  <w:style w:type="table" w:styleId="17">
    <w:name w:val="Table Grid"/>
    <w:basedOn w:val="1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19">
    <w:name w:val="页脚 字符"/>
    <w:basedOn w:val="9"/>
    <w:link w:val="6"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/>
    </w:pPr>
  </w:style>
  <w:style w:type="character" w:customStyle="1" w:styleId="21">
    <w:name w:val="正文文本 字符"/>
    <w:basedOn w:val="9"/>
    <w:link w:val="4"/>
    <w:qFormat/>
    <w:uiPriority w:val="99"/>
    <w:rPr>
      <w:rFonts w:ascii="等线" w:hAnsi="等线" w:eastAsia="宋体" w:cs="Times New Roman"/>
      <w:szCs w:val="21"/>
    </w:rPr>
  </w:style>
  <w:style w:type="character" w:customStyle="1" w:styleId="22">
    <w:name w:val="批注框文本 字符"/>
    <w:basedOn w:val="9"/>
    <w:link w:val="5"/>
    <w:qFormat/>
    <w:uiPriority w:val="0"/>
    <w:rPr>
      <w:rFonts w:ascii="等线" w:hAnsi="等线" w:eastAsia="仿宋_GB2312" w:cs="宋体"/>
      <w:kern w:val="2"/>
      <w:sz w:val="18"/>
      <w:szCs w:val="18"/>
    </w:rPr>
  </w:style>
  <w:style w:type="paragraph" w:customStyle="1" w:styleId="23">
    <w:name w:val="Body text|1"/>
    <w:basedOn w:val="1"/>
    <w:qFormat/>
    <w:uiPriority w:val="0"/>
    <w:pPr>
      <w:spacing w:line="413" w:lineRule="auto"/>
      <w:ind w:firstLine="400"/>
    </w:pPr>
    <w:rPr>
      <w:rFonts w:ascii="宋体" w:hAnsi="宋体"/>
      <w:sz w:val="30"/>
      <w:szCs w:val="30"/>
      <w:lang w:val="zh-TW" w:eastAsia="zh-TW" w:bidi="zh-TW"/>
    </w:rPr>
  </w:style>
  <w:style w:type="character" w:customStyle="1" w:styleId="24">
    <w:name w:val="c-icon30"/>
    <w:basedOn w:val="9"/>
    <w:qFormat/>
    <w:uiPriority w:val="0"/>
  </w:style>
  <w:style w:type="character" w:customStyle="1" w:styleId="25">
    <w:name w:val="hover26"/>
    <w:basedOn w:val="9"/>
    <w:qFormat/>
    <w:uiPriority w:val="0"/>
  </w:style>
  <w:style w:type="character" w:customStyle="1" w:styleId="26">
    <w:name w:val="hover27"/>
    <w:basedOn w:val="9"/>
    <w:qFormat/>
    <w:uiPriority w:val="0"/>
    <w:rPr>
      <w:color w:val="315EFB"/>
    </w:rPr>
  </w:style>
  <w:style w:type="paragraph" w:customStyle="1" w:styleId="27">
    <w:name w:val="Revision_b6625dd8-237f-4206-b914-ccde5b7f6d37"/>
    <w:qFormat/>
    <w:uiPriority w:val="99"/>
    <w:rPr>
      <w:rFonts w:ascii="等线" w:hAnsi="等线" w:eastAsia="仿宋_GB2312" w:cs="宋体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2384</Words>
  <Characters>2537</Characters>
  <Paragraphs>388</Paragraphs>
  <TotalTime>2</TotalTime>
  <ScaleCrop>false</ScaleCrop>
  <LinksUpToDate>false</LinksUpToDate>
  <CharactersWithSpaces>2779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2022-05-18T04:24:00Z</dcterms:created>
  <dc:creator>付朋霞</dc:creator>
  <cp:lastModifiedBy>李蹊</cp:lastModifiedBy>
  <cp:lastPrinted>2022-06-01T00:18:00Z</cp:lastPrinted>
  <dcterms:modified xsi:type="dcterms:W3CDTF">2022-06-09T11:17:05Z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  <property fmtid="{D5CDD505-2E9C-101B-9397-08002B2CF9AE}" pid="3" name="ICV">
    <vt:lpwstr>A9C3004B2C444D3DA299EE881895962F</vt:lpwstr>
  </property>
  <property fmtid="{D5CDD505-2E9C-101B-9397-08002B2CF9AE}" pid="4" name="commondata">
    <vt:lpwstr>eyJoZGlkIjoiNjlhMmI1YzliMjBiN2QzMTg2ZDY2YTlmYjM4NDQzOWQifQ==</vt:lpwstr>
  </property>
</Properties>
</file>