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40" w:lineRule="exact"/>
        <w:jc w:val="center"/>
        <w:rPr>
          <w:rFonts w:ascii="仿宋_GB2312" w:eastAsia="仿宋_GB2312"/>
          <w:sz w:val="28"/>
          <w:szCs w:val="28"/>
        </w:rPr>
      </w:pPr>
    </w:p>
    <w:p>
      <w:pPr>
        <w:spacing w:line="560" w:lineRule="exact"/>
        <w:rPr>
          <w:rFonts w:ascii="黑体" w:hAnsi="黑体" w:eastAsia="黑体"/>
          <w:sz w:val="32"/>
          <w:szCs w:val="32"/>
        </w:rPr>
      </w:pPr>
      <w:r>
        <w:rPr>
          <w:rFonts w:hint="eastAsia" w:ascii="黑体" w:hAnsi="黑体" w:eastAsia="黑体"/>
          <w:sz w:val="32"/>
          <w:szCs w:val="32"/>
        </w:rPr>
        <w:t>附件1</w:t>
      </w:r>
    </w:p>
    <w:p>
      <w:pPr>
        <w:spacing w:line="640" w:lineRule="exact"/>
        <w:jc w:val="center"/>
        <w:rPr>
          <w:rFonts w:ascii="方正小标宋简体" w:hAnsi="黑体" w:eastAsia="方正小标宋简体"/>
          <w:sz w:val="44"/>
          <w:szCs w:val="44"/>
        </w:rPr>
      </w:pP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北京市工业和信息化领域202</w:t>
      </w:r>
      <w:r>
        <w:rPr>
          <w:rFonts w:hint="eastAsia" w:ascii="方正小标宋简体" w:hAnsi="黑体" w:eastAsia="方正小标宋简体"/>
          <w:sz w:val="44"/>
          <w:szCs w:val="44"/>
          <w:lang w:val="en-US" w:eastAsia="zh-CN"/>
        </w:rPr>
        <w:t>1</w:t>
      </w:r>
      <w:r>
        <w:rPr>
          <w:rFonts w:hint="eastAsia" w:ascii="方正小标宋简体" w:hAnsi="黑体" w:eastAsia="方正小标宋简体"/>
          <w:sz w:val="44"/>
          <w:szCs w:val="44"/>
        </w:rPr>
        <w:t>年</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质量品牌工作计划</w:t>
      </w:r>
    </w:p>
    <w:p>
      <w:pPr>
        <w:spacing w:line="560" w:lineRule="exact"/>
        <w:ind w:firstLine="640" w:firstLineChars="200"/>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为贯彻落实《中共中央 国务院关于开展质量提升行动的指导意见》</w:t>
      </w:r>
      <w:r>
        <w:rPr>
          <w:rFonts w:hint="eastAsia" w:ascii="仿宋_GB2312" w:hAnsi="仿宋_GB2312" w:eastAsia="仿宋_GB2312" w:cs="仿宋_GB2312"/>
          <w:sz w:val="32"/>
          <w:szCs w:val="32"/>
        </w:rPr>
        <w:t>以及工信部</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关于做好202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年工业质量品牌建设工作的通知</w:t>
      </w:r>
      <w:r>
        <w:rPr>
          <w:rFonts w:hint="eastAsia" w:ascii="仿宋_GB2312" w:hAnsi="仿宋_GB2312" w:eastAsia="仿宋_GB2312" w:cs="仿宋_GB2312"/>
          <w:bCs/>
          <w:sz w:val="32"/>
          <w:szCs w:val="32"/>
        </w:rPr>
        <w:t>》等文件精神，</w:t>
      </w:r>
      <w:r>
        <w:rPr>
          <w:rFonts w:hint="eastAsia" w:ascii="仿宋_GB2312" w:hAnsi="仿宋_GB2312" w:eastAsia="仿宋_GB2312" w:cs="仿宋_GB2312"/>
          <w:sz w:val="32"/>
          <w:szCs w:val="32"/>
        </w:rPr>
        <w:t>全面推进质量品牌建设，</w:t>
      </w:r>
      <w:r>
        <w:rPr>
          <w:rFonts w:hint="eastAsia" w:ascii="仿宋_GB2312" w:hAnsi="仿宋_GB2312" w:eastAsia="仿宋_GB2312" w:cs="仿宋_GB2312"/>
          <w:bCs/>
          <w:sz w:val="32"/>
          <w:szCs w:val="32"/>
        </w:rPr>
        <w:t>持续</w:t>
      </w:r>
      <w:r>
        <w:rPr>
          <w:rFonts w:hint="eastAsia" w:ascii="仿宋_GB2312" w:hAnsi="仿宋_GB2312" w:eastAsia="仿宋_GB2312" w:cs="仿宋_GB2312"/>
          <w:sz w:val="32"/>
          <w:szCs w:val="32"/>
        </w:rPr>
        <w:t>推动我市工业和信息化企业质量管理和品牌建设创新发展。结合北京实际，提出北京市工业和信息化领域202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年质量品牌工作计划。</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　　一</w:t>
      </w:r>
      <w:r>
        <w:rPr>
          <w:rFonts w:hint="eastAsia" w:ascii="黑体" w:hAnsi="黑体" w:eastAsia="黑体" w:cs="黑体"/>
          <w:sz w:val="32"/>
          <w:szCs w:val="32"/>
        </w:rPr>
        <w:t>、加强全面质量管理</w:t>
      </w:r>
    </w:p>
    <w:p>
      <w:pPr>
        <w:pStyle w:val="13"/>
        <w:keepNext w:val="0"/>
        <w:keepLines w:val="0"/>
        <w:pageBreakBefore w:val="0"/>
        <w:widowControl/>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１．</w:t>
      </w:r>
      <w:r>
        <w:rPr>
          <w:rFonts w:hint="eastAsia" w:ascii="仿宋_GB2312" w:hAnsi="仿宋_GB2312" w:eastAsia="仿宋_GB2312" w:cs="仿宋_GB2312"/>
          <w:b/>
          <w:bCs/>
          <w:sz w:val="32"/>
          <w:szCs w:val="32"/>
        </w:rPr>
        <w:t>推广先进质量管理方法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持续开展</w:t>
      </w:r>
      <w:r>
        <w:rPr>
          <w:rFonts w:hint="eastAsia" w:ascii="仿宋_GB2312" w:hAnsi="仿宋_GB2312" w:eastAsia="仿宋_GB2312" w:cs="仿宋_GB2312"/>
          <w:sz w:val="32"/>
          <w:szCs w:val="32"/>
        </w:rPr>
        <w:t>工业企业“质量标杆”</w:t>
      </w:r>
      <w:r>
        <w:rPr>
          <w:rFonts w:hint="eastAsia" w:ascii="仿宋_GB2312" w:hAnsi="仿宋_GB2312" w:eastAsia="仿宋_GB2312" w:cs="仿宋_GB2312"/>
          <w:sz w:val="32"/>
          <w:szCs w:val="32"/>
          <w:lang w:eastAsia="zh-CN"/>
        </w:rPr>
        <w:t>遴选及</w:t>
      </w:r>
      <w:r>
        <w:rPr>
          <w:rFonts w:hint="eastAsia" w:ascii="仿宋_GB2312" w:hAnsi="仿宋_GB2312" w:eastAsia="仿宋_GB2312" w:cs="仿宋_GB2312"/>
          <w:sz w:val="32"/>
          <w:szCs w:val="32"/>
        </w:rPr>
        <w:t>经验交流</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，挖掘</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典型经验，充分发挥标杆企业在质量提升行动中的示范引领作用。支持北京质量协会依法依规组织质量管理小组、质量信得过班组等现场改进活动，引导企业</w:t>
      </w:r>
      <w:r>
        <w:rPr>
          <w:rFonts w:hint="eastAsia" w:ascii="仿宋_GB2312" w:hAnsi="仿宋_GB2312" w:eastAsia="仿宋_GB2312" w:cs="仿宋_GB2312"/>
          <w:sz w:val="32"/>
          <w:szCs w:val="32"/>
          <w:lang w:eastAsia="zh-CN"/>
        </w:rPr>
        <w:t>尤其是</w:t>
      </w:r>
      <w:r>
        <w:rPr>
          <w:rFonts w:hint="eastAsia" w:ascii="仿宋_GB2312" w:hAnsi="仿宋_GB2312" w:eastAsia="仿宋_GB2312" w:cs="仿宋_GB2312"/>
          <w:sz w:val="32"/>
          <w:szCs w:val="32"/>
        </w:rPr>
        <w:t>中小企业</w:t>
      </w:r>
      <w:r>
        <w:rPr>
          <w:rFonts w:hint="eastAsia" w:ascii="仿宋_GB2312" w:hAnsi="仿宋_GB2312" w:eastAsia="仿宋_GB2312" w:cs="仿宋_GB2312"/>
          <w:sz w:val="32"/>
          <w:szCs w:val="32"/>
          <w:lang w:eastAsia="zh-CN"/>
        </w:rPr>
        <w:t>积极</w:t>
      </w:r>
      <w:r>
        <w:rPr>
          <w:rFonts w:hint="eastAsia" w:ascii="仿宋_GB2312" w:hAnsi="仿宋_GB2312" w:eastAsia="仿宋_GB2312" w:cs="仿宋_GB2312"/>
          <w:sz w:val="32"/>
          <w:szCs w:val="32"/>
        </w:rPr>
        <w:t>学习实践六西格玛、可靠性、精益制造等先进质量管理方法。</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２</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夯实质量技术基础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i w:val="0"/>
          <w:caps w:val="0"/>
          <w:color w:val="auto"/>
          <w:spacing w:val="0"/>
          <w:sz w:val="32"/>
          <w:szCs w:val="32"/>
          <w:shd w:val="clear" w:fill="auto"/>
        </w:rPr>
        <w:t>鼓励企业和社会团体制定满足高层次市场需求的先进标准；积极开展企业标准“领跑者”培育，强化企业标准引领，树立行业标杆，以先进标准促进全面质量提升；支持重点企业主导或参与制定团体标准、行业标准、国家标准、国际标准。</w:t>
      </w:r>
      <w:r>
        <w:rPr>
          <w:rFonts w:hint="eastAsia" w:ascii="仿宋_GB2312" w:hAnsi="仿宋_GB2312" w:eastAsia="仿宋_GB2312" w:cs="仿宋_GB2312"/>
          <w:sz w:val="32"/>
          <w:szCs w:val="32"/>
          <w:lang w:eastAsia="zh-CN"/>
        </w:rPr>
        <w:t>支持创建</w:t>
      </w:r>
      <w:r>
        <w:rPr>
          <w:rFonts w:hint="eastAsia" w:ascii="仿宋_GB2312" w:hAnsi="仿宋_GB2312" w:eastAsia="仿宋_GB2312" w:cs="仿宋_GB2312"/>
          <w:sz w:val="32"/>
          <w:szCs w:val="32"/>
        </w:rPr>
        <w:t>工业产品质量控制和技术评价实验室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产业技术基础公共服务平台，支持开展高水平的质量评价工作，组织检验检测机构技术交流，提高技术服务能力。</w:t>
      </w:r>
    </w:p>
    <w:p>
      <w:pPr>
        <w:pStyle w:val="13"/>
        <w:keepNext w:val="0"/>
        <w:keepLines w:val="0"/>
        <w:pageBreakBefore w:val="0"/>
        <w:widowControl/>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３．</w:t>
      </w:r>
      <w:r>
        <w:rPr>
          <w:rFonts w:hint="eastAsia" w:ascii="仿宋_GB2312" w:hAnsi="仿宋_GB2312" w:eastAsia="仿宋_GB2312" w:cs="仿宋_GB2312"/>
          <w:b/>
          <w:bCs/>
          <w:sz w:val="32"/>
          <w:szCs w:val="32"/>
        </w:rPr>
        <w:t>提升高精尖产品供给质量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在消费品、装备、原材料等领域加大质量升级技术改造和技术创新支持力度。支持重点企业瞄准国际先进制造标杆水平实施质量攻关技术改造，加强可靠性设计、试验与验证技术开发应用，提升重点行业关键工艺过程控制水平，使产品的性能稳定性、质量可靠性和安全性等指标达到国际同类产品先进水平。</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营造质量发展环境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品牌培育管理体系行业标准贯标工作，举办品牌培育管理体系标准培训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提高企业品牌建设能力，促进企业质量效益提升。继续推进产业集群区域品牌建设，营造质量品牌发展环境，</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“中国品牌日”和“质量月”，积极鼓励企业参加品牌故事大赛、品牌创新成果发布等活动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持续提升</w:t>
      </w:r>
      <w:r>
        <w:rPr>
          <w:rFonts w:hint="eastAsia" w:ascii="仿宋_GB2312" w:hAnsi="仿宋_GB2312" w:eastAsia="仿宋_GB2312" w:cs="仿宋_GB2312"/>
          <w:sz w:val="32"/>
          <w:szCs w:val="32"/>
          <w:lang w:eastAsia="zh-CN"/>
        </w:rPr>
        <w:t>京内</w:t>
      </w:r>
      <w:r>
        <w:rPr>
          <w:rFonts w:hint="eastAsia" w:ascii="仿宋_GB2312" w:hAnsi="仿宋_GB2312" w:eastAsia="仿宋_GB2312" w:cs="仿宋_GB2312"/>
          <w:sz w:val="32"/>
          <w:szCs w:val="32"/>
        </w:rPr>
        <w:t>品牌影响力，同时积极抓住“一带一路”以及科技冬奥等方面重大建设机遇，增强品牌境外推广能力，实现中国工业品牌“走出去”。</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　　二</w:t>
      </w:r>
      <w:r>
        <w:rPr>
          <w:rFonts w:hint="eastAsia" w:ascii="黑体" w:hAnsi="黑体" w:eastAsia="黑体" w:cs="黑体"/>
          <w:sz w:val="32"/>
          <w:szCs w:val="32"/>
        </w:rPr>
        <w:t>、推动重点行业质量水平提升</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提高新材料供给质量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快前沿新材料领域标准建设。对标国际最高标准和领先水平，推动材料行业智能化水平提升，鼓励企业开展智能化改造，促进材料行业高质量发展。做好在京落地的国家级新材料生产应用示范平台、测试平台及资源共享平台的建设服务，助力平台加快形成一批创新性认证评价工作方法和配套标准，推进行业质量提升。</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６</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加快装备制造业标准化和质量提升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动装备制造成熟度研究，对产品全生命周期制造能力以及相应制造风险进行步进式、精细化的衡量，促进装备制造企业管理水平提升。发展智能制造和服务型制造，发布国家智能制造标准体系建设指南（3.0版），遴选一批智能制造和服务型制造标杆企业。支持开展机械产品质量创新大赛，推广可靠性应用解决方案，提高机械产品可靠性水平。扩大制造业设备更新和技术改造投资，支持传统装备制造企业转型升级。健全首台（套）重大技术装备检测评定体系，提高重大装备质量保障水平，推动国产装备应用。</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７</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深入实施消费品“三品”战略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持续</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纺织服装创意设计园区（平台）试点示范工作，助力提高企业创意设计水平</w:t>
      </w:r>
      <w:r>
        <w:rPr>
          <w:rFonts w:hint="eastAsia" w:ascii="仿宋_GB2312" w:hAnsi="仿宋_GB2312" w:eastAsia="仿宋_GB2312" w:cs="仿宋_GB2312"/>
          <w:sz w:val="32"/>
          <w:szCs w:val="32"/>
          <w:lang w:eastAsia="zh-CN"/>
        </w:rPr>
        <w:t>，推动都市时尚产业在消费升级和国际消费中心城市建设中更好地发挥作用</w:t>
      </w:r>
      <w:r>
        <w:rPr>
          <w:rFonts w:hint="eastAsia" w:ascii="仿宋_GB2312" w:hAnsi="仿宋_GB2312" w:eastAsia="仿宋_GB2312" w:cs="仿宋_GB2312"/>
          <w:sz w:val="32"/>
          <w:szCs w:val="32"/>
        </w:rPr>
        <w:t>。</w:t>
      </w:r>
    </w:p>
    <w:p>
      <w:pPr>
        <w:pStyle w:val="13"/>
        <w:keepNext w:val="0"/>
        <w:keepLines w:val="0"/>
        <w:pageBreakBefore w:val="0"/>
        <w:widowControl/>
        <w:suppressLineNumbers w:val="0"/>
        <w:kinsoku/>
        <w:wordWrap/>
        <w:overflowPunct/>
        <w:topLinePunct w:val="0"/>
        <w:autoSpaceDE/>
        <w:autoSpaceDN/>
        <w:bidi w:val="0"/>
        <w:adjustRightInd/>
        <w:spacing w:beforeAutospacing="0" w:afterAutospacing="0" w:line="560" w:lineRule="exact"/>
        <w:jc w:val="left"/>
        <w:textAlignment w:val="auto"/>
        <w:rPr>
          <w:rFonts w:hint="eastAsia" w:ascii="仿宋_GB2312" w:hAnsi="仿宋_GB2312" w:eastAsia="仿宋_GB2312" w:cs="仿宋_GB2312"/>
          <w:b w:val="0"/>
          <w:i w:val="0"/>
          <w:caps w:val="0"/>
          <w:color w:val="auto"/>
          <w:spacing w:val="0"/>
          <w:sz w:val="32"/>
          <w:szCs w:val="32"/>
          <w:shd w:val="clear"/>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８</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推动信息技术产业质量提升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加强对信息行业企业质量提升需求调研，提出针对性改进措施。</w:t>
      </w:r>
      <w:r>
        <w:rPr>
          <w:rFonts w:hint="eastAsia" w:ascii="仿宋_GB2312" w:hAnsi="仿宋_GB2312" w:eastAsia="仿宋_GB2312" w:cs="仿宋_GB2312"/>
          <w:b w:val="0"/>
          <w:i w:val="0"/>
          <w:caps w:val="0"/>
          <w:color w:val="auto"/>
          <w:spacing w:val="0"/>
          <w:sz w:val="32"/>
          <w:szCs w:val="32"/>
          <w:shd w:val="clear"/>
          <w:lang w:eastAsia="zh-CN"/>
        </w:rPr>
        <w:t>推动</w:t>
      </w:r>
      <w:r>
        <w:rPr>
          <w:rFonts w:hint="eastAsia" w:ascii="仿宋_GB2312" w:hAnsi="仿宋_GB2312" w:eastAsia="仿宋_GB2312" w:cs="仿宋_GB2312"/>
          <w:b w:val="0"/>
          <w:i w:val="0"/>
          <w:caps w:val="0"/>
          <w:color w:val="auto"/>
          <w:spacing w:val="0"/>
          <w:sz w:val="32"/>
          <w:szCs w:val="32"/>
          <w:shd w:val="clear"/>
        </w:rPr>
        <w:t>在京建设国家广电总局超高清视频生产质量检测重点实验室，开展面向超高清视频制作设备和内容的质量检测工作。</w:t>
      </w:r>
    </w:p>
    <w:p>
      <w:pPr>
        <w:pStyle w:val="4"/>
        <w:keepNext w:val="0"/>
        <w:keepLines w:val="0"/>
        <w:pageBreakBefore w:val="0"/>
        <w:kinsoku/>
        <w:wordWrap/>
        <w:overflowPunct/>
        <w:topLinePunct w:val="0"/>
        <w:autoSpaceDE/>
        <w:autoSpaceDN/>
        <w:bidi w:val="0"/>
        <w:adjustRightInd/>
        <w:spacing w:beforeAutospacing="0" w:afterAutospacing="0" w:line="560" w:lineRule="exact"/>
        <w:ind w:left="0" w:leftChars="0" w:firstLine="0" w:firstLineChars="0"/>
        <w:textAlignment w:val="auto"/>
        <w:rPr>
          <w:rFonts w:hint="eastAsia" w:ascii="黑体" w:hAnsi="黑体" w:eastAsia="黑体"/>
          <w:b w:val="0"/>
          <w:bCs/>
        </w:rPr>
      </w:pPr>
      <w:r>
        <w:rPr>
          <w:rFonts w:hint="eastAsia" w:ascii="黑体" w:hAnsi="黑体" w:eastAsia="黑体" w:cs="楷体_GB2312"/>
          <w:b w:val="0"/>
          <w:lang w:eastAsia="zh-CN"/>
        </w:rPr>
        <w:t>　　三</w:t>
      </w:r>
      <w:r>
        <w:rPr>
          <w:rFonts w:hint="eastAsia" w:ascii="黑体" w:hAnsi="黑体" w:eastAsia="黑体" w:cs="楷体_GB2312"/>
          <w:b w:val="0"/>
        </w:rPr>
        <w:t>、深化工业品牌培育，</w:t>
      </w:r>
      <w:r>
        <w:rPr>
          <w:rFonts w:hint="eastAsia" w:ascii="黑体" w:hAnsi="黑体" w:eastAsia="黑体"/>
          <w:b w:val="0"/>
          <w:bCs/>
        </w:rPr>
        <w:t>扩大北京工业品牌影响力</w:t>
      </w:r>
    </w:p>
    <w:p>
      <w:pPr>
        <w:keepNext w:val="0"/>
        <w:keepLines w:val="0"/>
        <w:pageBreakBefore w:val="0"/>
        <w:kinsoku/>
        <w:wordWrap/>
        <w:overflowPunct/>
        <w:topLinePunct w:val="0"/>
        <w:autoSpaceDE/>
        <w:autoSpaceDN/>
        <w:bidi w:val="0"/>
        <w:adjustRightIn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　　９</w:t>
      </w:r>
      <w:r>
        <w:rPr>
          <w:rFonts w:hint="eastAsia" w:ascii="仿宋_GB2312" w:hAnsi="仿宋_GB2312" w:eastAsia="仿宋_GB2312" w:cs="仿宋_GB2312"/>
          <w:b/>
          <w:sz w:val="32"/>
          <w:szCs w:val="32"/>
        </w:rPr>
        <w:t>．做好质量创先争优</w:t>
      </w:r>
      <w:r>
        <w:rPr>
          <w:rFonts w:hint="eastAsia" w:ascii="仿宋_GB2312" w:hAnsi="仿宋_GB2312" w:eastAsia="仿宋_GB2312" w:cs="仿宋_GB2312"/>
          <w:b/>
          <w:sz w:val="32"/>
          <w:szCs w:val="32"/>
          <w:lang w:eastAsia="zh-CN"/>
        </w:rPr>
        <w:t>遴选</w:t>
      </w:r>
      <w:r>
        <w:rPr>
          <w:rFonts w:hint="eastAsia" w:ascii="仿宋_GB2312" w:hAnsi="仿宋_GB2312" w:eastAsia="仿宋_GB2312" w:cs="仿宋_GB2312"/>
          <w:b/>
          <w:sz w:val="32"/>
          <w:szCs w:val="32"/>
        </w:rPr>
        <w:t>推荐。积极</w:t>
      </w:r>
      <w:r>
        <w:rPr>
          <w:rFonts w:hint="eastAsia" w:ascii="仿宋_GB2312" w:hAnsi="仿宋_GB2312" w:eastAsia="仿宋_GB2312" w:cs="仿宋_GB2312"/>
          <w:sz w:val="32"/>
          <w:szCs w:val="32"/>
        </w:rPr>
        <w:t>做好全国质量标杆、</w:t>
      </w:r>
      <w:r>
        <w:rPr>
          <w:rFonts w:hint="eastAsia" w:ascii="仿宋_GB2312" w:hAnsi="仿宋_GB2312" w:eastAsia="仿宋_GB2312" w:cs="仿宋_GB2312"/>
          <w:bCs/>
          <w:sz w:val="32"/>
          <w:szCs w:val="32"/>
        </w:rPr>
        <w:t>北京市人民政府质量管理奖的宣传、培育和推荐工作，</w:t>
      </w:r>
      <w:r>
        <w:rPr>
          <w:rFonts w:hint="eastAsia" w:ascii="仿宋_GB2312" w:hAnsi="仿宋_GB2312" w:eastAsia="仿宋_GB2312" w:cs="仿宋_GB2312"/>
          <w:sz w:val="32"/>
          <w:szCs w:val="32"/>
        </w:rPr>
        <w:t>推荐质量卓越的工业和信息化企业参与奖项申报,树立并推广标杆企业在质量品牌建设中的优秀做法，促进我市工业和信息化企业特别是中小企业质量水平提升。</w:t>
      </w:r>
    </w:p>
    <w:p>
      <w:pPr>
        <w:keepNext w:val="0"/>
        <w:keepLines w:val="0"/>
        <w:pageBreakBefore w:val="0"/>
        <w:kinsoku/>
        <w:wordWrap/>
        <w:overflowPunct/>
        <w:topLinePunct w:val="0"/>
        <w:autoSpaceDE/>
        <w:autoSpaceDN/>
        <w:bidi w:val="0"/>
        <w:adjustRightInd/>
        <w:snapToGrid w:val="0"/>
        <w:spacing w:beforeAutospacing="0" w:afterAutospacing="0" w:line="560" w:lineRule="exact"/>
        <w:ind w:firstLine="642"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10</w:t>
      </w:r>
      <w:r>
        <w:rPr>
          <w:rFonts w:hint="eastAsia" w:ascii="仿宋_GB2312" w:hAnsi="仿宋_GB2312" w:eastAsia="仿宋_GB2312" w:cs="仿宋_GB2312"/>
          <w:b/>
          <w:sz w:val="32"/>
          <w:szCs w:val="32"/>
        </w:rPr>
        <w:t>. 推进产业集群区域品牌建设。</w:t>
      </w:r>
      <w:r>
        <w:rPr>
          <w:rFonts w:hint="eastAsia" w:ascii="仿宋_GB2312" w:hAnsi="仿宋_GB2312" w:eastAsia="仿宋_GB2312" w:cs="仿宋_GB2312"/>
          <w:sz w:val="32"/>
          <w:szCs w:val="32"/>
        </w:rPr>
        <w:t>积极推动以产业基地为重点依托，以重大项目集聚带动为主要支撑，在新一代信息技术、集成电路、医药健康、新能源智能汽车等领域推进特色产业集群区域品牌建设，促进企业品牌与区域品牌的良性互动发展。</w:t>
      </w:r>
    </w:p>
    <w:p>
      <w:pPr>
        <w:keepNext w:val="0"/>
        <w:keepLines w:val="0"/>
        <w:pageBreakBefore w:val="0"/>
        <w:kinsoku/>
        <w:wordWrap/>
        <w:overflowPunct/>
        <w:topLinePunct w:val="0"/>
        <w:autoSpaceDE/>
        <w:autoSpaceDN/>
        <w:bidi w:val="0"/>
        <w:adjustRightInd/>
        <w:spacing w:beforeAutospacing="0" w:afterAutospacing="0"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bCs/>
          <w:sz w:val="32"/>
          <w:szCs w:val="32"/>
        </w:rPr>
        <w:t>.引导企业</w:t>
      </w:r>
      <w:r>
        <w:rPr>
          <w:rFonts w:hint="eastAsia" w:ascii="仿宋_GB2312" w:hAnsi="仿宋_GB2312" w:eastAsia="仿宋_GB2312" w:cs="仿宋_GB2312"/>
          <w:b/>
          <w:sz w:val="32"/>
          <w:szCs w:val="32"/>
        </w:rPr>
        <w:t>抓住重大活动契机，提升品牌影响力。</w:t>
      </w:r>
      <w:r>
        <w:rPr>
          <w:rFonts w:hint="eastAsia" w:ascii="仿宋_GB2312" w:hAnsi="仿宋_GB2312" w:eastAsia="仿宋_GB2312" w:cs="仿宋_GB2312"/>
          <w:bCs/>
          <w:sz w:val="32"/>
          <w:szCs w:val="32"/>
        </w:rPr>
        <w:t>鼓励</w:t>
      </w:r>
      <w:r>
        <w:rPr>
          <w:rFonts w:hint="eastAsia" w:ascii="仿宋_GB2312" w:hAnsi="仿宋_GB2312" w:eastAsia="仿宋_GB2312" w:cs="仿宋_GB2312"/>
          <w:sz w:val="32"/>
          <w:szCs w:val="32"/>
        </w:rPr>
        <w:t>企业积极参加</w:t>
      </w:r>
      <w:r>
        <w:rPr>
          <w:rFonts w:hint="eastAsia" w:ascii="仿宋_GB2312" w:hAnsi="仿宋_GB2312" w:eastAsia="仿宋_GB2312" w:cs="仿宋_GB2312"/>
          <w:sz w:val="32"/>
          <w:szCs w:val="32"/>
          <w:lang w:eastAsia="zh-CN"/>
        </w:rPr>
        <w:t>中关村论坛、服贸会、世界机器人大会</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展览展示活动</w:t>
      </w:r>
      <w:r>
        <w:rPr>
          <w:rFonts w:hint="eastAsia" w:ascii="仿宋_GB2312" w:hAnsi="仿宋_GB2312" w:eastAsia="仿宋_GB2312" w:cs="仿宋_GB2312"/>
          <w:sz w:val="32"/>
          <w:szCs w:val="32"/>
        </w:rPr>
        <w:t>，持续提升品牌影响力，积极抓住“一带一路”以及科技冬奥等方面重大建设机遇，增强境外品牌推广能力，实现中国品牌“走出去”。</w:t>
      </w:r>
    </w:p>
    <w:p>
      <w:pPr>
        <w:keepNext w:val="0"/>
        <w:keepLines w:val="0"/>
        <w:pageBreakBefore w:val="0"/>
        <w:kinsoku/>
        <w:wordWrap/>
        <w:overflowPunct/>
        <w:topLinePunct w:val="0"/>
        <w:autoSpaceDE/>
        <w:autoSpaceDN/>
        <w:bidi w:val="0"/>
        <w:adjustRightInd/>
        <w:spacing w:beforeAutospacing="0" w:afterAutospacing="0" w:line="560" w:lineRule="exact"/>
        <w:ind w:firstLine="627" w:firstLineChars="196"/>
        <w:textAlignment w:val="auto"/>
        <w:rPr>
          <w:rFonts w:hint="eastAsia" w:ascii="仿宋_GB2312" w:hAnsi="仿宋_GB2312" w:eastAsia="仿宋_GB2312" w:cs="仿宋_GB2312"/>
          <w:sz w:val="32"/>
          <w:szCs w:val="32"/>
        </w:rPr>
      </w:pPr>
    </w:p>
    <w:p>
      <w:pPr>
        <w:spacing w:line="560" w:lineRule="exact"/>
        <w:ind w:firstLine="627" w:firstLineChars="196"/>
        <w:rPr>
          <w:rFonts w:ascii="仿宋_GB2312" w:hAnsi="仿宋_GB2312" w:eastAsia="仿宋_GB2312" w:cs="仿宋_GB2312"/>
          <w:sz w:val="32"/>
          <w:szCs w:val="32"/>
        </w:rPr>
      </w:pPr>
    </w:p>
    <w:p>
      <w:pPr>
        <w:spacing w:line="560" w:lineRule="exact"/>
        <w:ind w:firstLine="627" w:firstLineChars="196"/>
        <w:rPr>
          <w:rFonts w:ascii="仿宋_GB2312" w:hAnsi="仿宋_GB2312" w:eastAsia="仿宋_GB2312" w:cs="仿宋_GB2312"/>
          <w:sz w:val="32"/>
          <w:szCs w:val="32"/>
        </w:rPr>
      </w:pPr>
    </w:p>
    <w:p>
      <w:pPr>
        <w:spacing w:line="560" w:lineRule="exact"/>
        <w:rPr>
          <w:rFonts w:ascii="黑体" w:hAnsi="黑体" w:eastAsia="黑体"/>
          <w:sz w:val="32"/>
          <w:szCs w:val="32"/>
        </w:rPr>
      </w:pPr>
      <w:r>
        <w:rPr>
          <w:rFonts w:hint="eastAsia" w:ascii="仿宋_GB2312" w:hAnsi="仿宋_GB2312" w:eastAsia="仿宋_GB2312" w:cs="仿宋_GB2312"/>
          <w:sz w:val="32"/>
          <w:szCs w:val="32"/>
        </w:rPr>
        <w:br w:type="page"/>
      </w:r>
      <w:r>
        <w:rPr>
          <w:rFonts w:hint="eastAsia" w:ascii="黑体" w:hAnsi="黑体" w:eastAsia="黑体"/>
          <w:sz w:val="32"/>
          <w:szCs w:val="32"/>
        </w:rPr>
        <w:t>附件</w:t>
      </w:r>
      <w:r>
        <w:rPr>
          <w:rFonts w:ascii="黑体" w:hAnsi="黑体" w:eastAsia="黑体"/>
          <w:sz w:val="32"/>
          <w:szCs w:val="32"/>
        </w:rPr>
        <w:t>2</w:t>
      </w:r>
    </w:p>
    <w:p>
      <w:pPr>
        <w:jc w:val="center"/>
        <w:rPr>
          <w:rFonts w:ascii="方正小标宋简体" w:eastAsia="方正小标宋简体"/>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各区质量品牌工作负责部门和负责人员表</w:t>
      </w:r>
    </w:p>
    <w:p>
      <w:pPr>
        <w:rPr>
          <w:rFonts w:ascii="仿宋_GB2312" w:eastAsia="仿宋_GB2312"/>
          <w:sz w:val="32"/>
          <w:szCs w:val="32"/>
        </w:rPr>
      </w:pPr>
    </w:p>
    <w:tbl>
      <w:tblPr>
        <w:tblStyle w:val="25"/>
        <w:tblW w:w="8528"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6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Pr>
          <w:p>
            <w:pPr>
              <w:rPr>
                <w:rFonts w:ascii="仿宋_GB2312" w:eastAsia="仿宋_GB2312"/>
                <w:sz w:val="32"/>
                <w:szCs w:val="32"/>
              </w:rPr>
            </w:pPr>
            <w:r>
              <w:rPr>
                <w:rFonts w:hint="eastAsia" w:ascii="仿宋_GB2312" w:eastAsia="仿宋_GB2312"/>
                <w:sz w:val="32"/>
                <w:szCs w:val="32"/>
              </w:rPr>
              <w:t>单位：</w:t>
            </w:r>
          </w:p>
        </w:tc>
        <w:tc>
          <w:tcPr>
            <w:tcW w:w="682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Pr>
          <w:p>
            <w:pPr>
              <w:rPr>
                <w:rFonts w:ascii="仿宋_GB2312" w:eastAsia="仿宋_GB2312"/>
                <w:sz w:val="32"/>
                <w:szCs w:val="32"/>
              </w:rPr>
            </w:pPr>
            <w:r>
              <w:rPr>
                <w:rFonts w:hint="eastAsia" w:ascii="仿宋_GB2312" w:eastAsia="仿宋_GB2312"/>
                <w:sz w:val="32"/>
                <w:szCs w:val="32"/>
              </w:rPr>
              <w:t>主管领导：</w:t>
            </w:r>
          </w:p>
        </w:tc>
        <w:tc>
          <w:tcPr>
            <w:tcW w:w="682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Pr>
          <w:p>
            <w:pPr>
              <w:rPr>
                <w:rFonts w:ascii="仿宋_GB2312" w:eastAsia="仿宋_GB2312"/>
                <w:sz w:val="32"/>
                <w:szCs w:val="32"/>
              </w:rPr>
            </w:pPr>
            <w:r>
              <w:rPr>
                <w:rFonts w:hint="eastAsia" w:ascii="仿宋_GB2312" w:eastAsia="仿宋_GB2312"/>
                <w:sz w:val="32"/>
                <w:szCs w:val="32"/>
              </w:rPr>
              <w:t>具体联络人及职务：</w:t>
            </w:r>
          </w:p>
        </w:tc>
        <w:tc>
          <w:tcPr>
            <w:tcW w:w="682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Pr>
          <w:p>
            <w:pPr>
              <w:rPr>
                <w:rFonts w:ascii="仿宋_GB2312" w:eastAsia="仿宋_GB2312"/>
                <w:sz w:val="32"/>
                <w:szCs w:val="32"/>
              </w:rPr>
            </w:pPr>
            <w:r>
              <w:rPr>
                <w:rFonts w:hint="eastAsia" w:ascii="仿宋_GB2312" w:eastAsia="仿宋_GB2312"/>
                <w:sz w:val="32"/>
                <w:szCs w:val="32"/>
              </w:rPr>
              <w:t>办公电话：</w:t>
            </w:r>
          </w:p>
        </w:tc>
        <w:tc>
          <w:tcPr>
            <w:tcW w:w="682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Pr>
          <w:p>
            <w:pPr>
              <w:rPr>
                <w:rFonts w:ascii="仿宋_GB2312" w:eastAsia="仿宋_GB2312"/>
                <w:sz w:val="32"/>
                <w:szCs w:val="32"/>
              </w:rPr>
            </w:pPr>
            <w:r>
              <w:rPr>
                <w:rFonts w:hint="eastAsia" w:ascii="仿宋_GB2312" w:eastAsia="仿宋_GB2312"/>
                <w:sz w:val="32"/>
                <w:szCs w:val="32"/>
              </w:rPr>
              <w:t>手机：</w:t>
            </w:r>
          </w:p>
        </w:tc>
        <w:tc>
          <w:tcPr>
            <w:tcW w:w="682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tcPr>
          <w:p>
            <w:pPr>
              <w:rPr>
                <w:rFonts w:ascii="仿宋_GB2312" w:eastAsia="仿宋_GB2312"/>
                <w:sz w:val="32"/>
                <w:szCs w:val="32"/>
              </w:rPr>
            </w:pPr>
            <w:r>
              <w:rPr>
                <w:rFonts w:hint="eastAsia" w:ascii="仿宋_GB2312" w:eastAsia="仿宋_GB2312"/>
                <w:sz w:val="32"/>
                <w:szCs w:val="32"/>
              </w:rPr>
              <w:t>电子邮件：</w:t>
            </w:r>
          </w:p>
        </w:tc>
        <w:tc>
          <w:tcPr>
            <w:tcW w:w="6823" w:type="dxa"/>
          </w:tcPr>
          <w:p>
            <w:pPr>
              <w:rPr>
                <w:rFonts w:ascii="仿宋_GB2312" w:eastAsia="仿宋_GB2312"/>
                <w:sz w:val="32"/>
                <w:szCs w:val="32"/>
              </w:rPr>
            </w:pPr>
          </w:p>
        </w:tc>
      </w:tr>
    </w:tbl>
    <w:p>
      <w:pPr>
        <w:pStyle w:val="2"/>
      </w:pPr>
    </w:p>
    <w:p>
      <w:pPr>
        <w:rPr>
          <w:rFonts w:ascii="仿宋_GB2312" w:eastAsia="仿宋_GB2312"/>
          <w:sz w:val="32"/>
          <w:szCs w:val="32"/>
        </w:rPr>
      </w:pPr>
      <w:bookmarkStart w:id="0" w:name="_GoBack"/>
      <w:bookmarkEnd w:id="0"/>
    </w:p>
    <w:sectPr>
      <w:footerReference r:id="rId5" w:type="first"/>
      <w:footerReference r:id="rId3" w:type="default"/>
      <w:footerReference r:id="rId4" w:type="even"/>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86"/>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- 7 -</w:t>
                          </w:r>
                          <w:r>
                            <w:rPr>
                              <w:rStyle w:val="15"/>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DT5x9SrwEAAEQDAAAOAAAAAAAAAAEAIAAAADUBAABkcnMvZTJvRG9jLnht&#10;bFBLBQYAAAAABgAGAFkBAABWBQAAAAA=&#10;">
              <v:fill on="f" focussize="0,0"/>
              <v:stroke on="f"/>
              <v:imagedata o:title=""/>
              <o:lock v:ext="edit" aspectratio="f"/>
              <v:textbox inset="0mm,0mm,0mm,0mm" style="mso-fit-shape-to-text:t;">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- 7 -</w:t>
                    </w:r>
                    <w:r>
                      <w:rPr>
                        <w:rStyle w:val="15"/>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- 6 -</w:t>
                          </w:r>
                          <w:r>
                            <w:rPr>
                              <w:rStyle w:val="15"/>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7216;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BFWq6hrwEAAEQDAAAOAAAAAAAAAAEAIAAAADUBAABkcnMvZTJvRG9jLnht&#10;bFBLBQYAAAAABgAGAFkBAABWBQAAAAA=&#10;">
              <v:fill on="f" focussize="0,0"/>
              <v:stroke on="f"/>
              <v:imagedata o:title=""/>
              <o:lock v:ext="edit" aspectratio="f"/>
              <v:textbox inset="0mm,0mm,0mm,0mm" style="mso-fit-shape-to-text:t;">
                <w:txbxContent>
                  <w:p>
                    <w:pPr>
                      <w:pStyle w:val="10"/>
                      <w:rPr>
                        <w:rStyle w:val="15"/>
                      </w:rPr>
                    </w:pPr>
                    <w:r>
                      <w:rPr>
                        <w:rStyle w:val="15"/>
                      </w:rPr>
                      <w:fldChar w:fldCharType="begin"/>
                    </w:r>
                    <w:r>
                      <w:rPr>
                        <w:rStyle w:val="15"/>
                      </w:rPr>
                      <w:instrText xml:space="preserve">PAGE  </w:instrText>
                    </w:r>
                    <w:r>
                      <w:rPr>
                        <w:rStyle w:val="15"/>
                      </w:rPr>
                      <w:fldChar w:fldCharType="separate"/>
                    </w:r>
                    <w:r>
                      <w:rPr>
                        <w:rStyle w:val="15"/>
                      </w:rPr>
                      <w:t>- 6 -</w:t>
                    </w:r>
                    <w:r>
                      <w:rPr>
                        <w:rStyle w:val="15"/>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vert="horz" wrap="none" lIns="0" tIns="0" rIns="0" bIns="0" anchor="t">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cPKudrwEAAEQDAAAOAAAAAAAAAAEAIAAAADUBAABkcnMvZTJvRG9jLnht&#10;bFBLBQYAAAAABgAGAFkBAABW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0"/>
  <w:drawingGridVerticalSpacing w:val="159"/>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CA"/>
    <w:rsid w:val="001146BD"/>
    <w:rsid w:val="001B6CF6"/>
    <w:rsid w:val="001C09C4"/>
    <w:rsid w:val="001D1F2E"/>
    <w:rsid w:val="001F111F"/>
    <w:rsid w:val="002511AA"/>
    <w:rsid w:val="00273816"/>
    <w:rsid w:val="002C7383"/>
    <w:rsid w:val="002C7E03"/>
    <w:rsid w:val="00377DF3"/>
    <w:rsid w:val="003A14E0"/>
    <w:rsid w:val="003A726B"/>
    <w:rsid w:val="003C00C2"/>
    <w:rsid w:val="003C5EE7"/>
    <w:rsid w:val="003D25A1"/>
    <w:rsid w:val="003D366C"/>
    <w:rsid w:val="00465A84"/>
    <w:rsid w:val="004918F6"/>
    <w:rsid w:val="00513C4F"/>
    <w:rsid w:val="00531644"/>
    <w:rsid w:val="0054091D"/>
    <w:rsid w:val="00586F08"/>
    <w:rsid w:val="00633DEE"/>
    <w:rsid w:val="006531B1"/>
    <w:rsid w:val="00665127"/>
    <w:rsid w:val="00667F83"/>
    <w:rsid w:val="0067636A"/>
    <w:rsid w:val="006A06BF"/>
    <w:rsid w:val="00771869"/>
    <w:rsid w:val="00775FC4"/>
    <w:rsid w:val="00784FF8"/>
    <w:rsid w:val="007B5BB6"/>
    <w:rsid w:val="007D47C9"/>
    <w:rsid w:val="00804EE8"/>
    <w:rsid w:val="00857A32"/>
    <w:rsid w:val="00867A69"/>
    <w:rsid w:val="00906E13"/>
    <w:rsid w:val="009220EC"/>
    <w:rsid w:val="00982C39"/>
    <w:rsid w:val="009915F3"/>
    <w:rsid w:val="00991EB7"/>
    <w:rsid w:val="009A0256"/>
    <w:rsid w:val="009A5C86"/>
    <w:rsid w:val="009F7466"/>
    <w:rsid w:val="00AB0077"/>
    <w:rsid w:val="00AB1EC6"/>
    <w:rsid w:val="00AE0147"/>
    <w:rsid w:val="00B3092C"/>
    <w:rsid w:val="00B71466"/>
    <w:rsid w:val="00B96D19"/>
    <w:rsid w:val="00BD7239"/>
    <w:rsid w:val="00C04E9D"/>
    <w:rsid w:val="00C50C5A"/>
    <w:rsid w:val="00CA70CA"/>
    <w:rsid w:val="00CA7418"/>
    <w:rsid w:val="00CF691E"/>
    <w:rsid w:val="00D76F54"/>
    <w:rsid w:val="00D77012"/>
    <w:rsid w:val="00D87BE8"/>
    <w:rsid w:val="00DE0A6A"/>
    <w:rsid w:val="00ED2204"/>
    <w:rsid w:val="00EE2D2A"/>
    <w:rsid w:val="00F15D5B"/>
    <w:rsid w:val="00F64432"/>
    <w:rsid w:val="00FA4DF9"/>
    <w:rsid w:val="00FB54F0"/>
    <w:rsid w:val="147D577B"/>
    <w:rsid w:val="230727E6"/>
    <w:rsid w:val="2E41033E"/>
    <w:rsid w:val="2FBF7152"/>
    <w:rsid w:val="31DB17AA"/>
    <w:rsid w:val="353E57CB"/>
    <w:rsid w:val="41B57FB3"/>
    <w:rsid w:val="457E1682"/>
    <w:rsid w:val="4AE21F70"/>
    <w:rsid w:val="4C205AD1"/>
    <w:rsid w:val="5D933AAC"/>
    <w:rsid w:val="6787351B"/>
    <w:rsid w:val="6EBBB746"/>
    <w:rsid w:val="6EDD0F3C"/>
    <w:rsid w:val="6F400912"/>
    <w:rsid w:val="707E3E86"/>
    <w:rsid w:val="72FFE2AB"/>
    <w:rsid w:val="7EF2E582"/>
    <w:rsid w:val="87E75211"/>
    <w:rsid w:val="AED9146B"/>
    <w:rsid w:val="D75771BD"/>
    <w:rsid w:val="FC3B0E27"/>
    <w:rsid w:val="FF3D458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26"/>
    <w:qFormat/>
    <w:uiPriority w:val="99"/>
    <w:pPr>
      <w:ind w:firstLine="720" w:firstLineChars="225"/>
      <w:outlineLvl w:val="0"/>
    </w:pPr>
    <w:rPr>
      <w:rFonts w:ascii="黑体" w:hAnsi="黑体" w:eastAsia="黑体" w:cs="Times New Roman"/>
      <w:sz w:val="32"/>
      <w:szCs w:val="32"/>
    </w:rPr>
  </w:style>
  <w:style w:type="paragraph" w:styleId="4">
    <w:name w:val="heading 2"/>
    <w:basedOn w:val="1"/>
    <w:next w:val="1"/>
    <w:link w:val="27"/>
    <w:qFormat/>
    <w:uiPriority w:val="99"/>
    <w:pPr>
      <w:ind w:firstLine="630" w:firstLineChars="196"/>
      <w:outlineLvl w:val="1"/>
    </w:pPr>
    <w:rPr>
      <w:rFonts w:ascii="仿宋" w:hAnsi="仿宋" w:eastAsia="仿宋" w:cs="Times New Roman"/>
      <w:b/>
      <w:sz w:val="32"/>
      <w:szCs w:val="32"/>
    </w:rPr>
  </w:style>
  <w:style w:type="character" w:default="1" w:styleId="14">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5">
    <w:name w:val="annotation subject"/>
    <w:basedOn w:val="6"/>
    <w:next w:val="6"/>
    <w:link w:val="35"/>
    <w:qFormat/>
    <w:uiPriority w:val="99"/>
    <w:rPr>
      <w:b/>
      <w:bCs/>
    </w:rPr>
  </w:style>
  <w:style w:type="paragraph" w:styleId="6">
    <w:name w:val="annotation text"/>
    <w:basedOn w:val="1"/>
    <w:link w:val="34"/>
    <w:qFormat/>
    <w:uiPriority w:val="99"/>
    <w:pPr>
      <w:jc w:val="left"/>
    </w:pPr>
  </w:style>
  <w:style w:type="paragraph" w:styleId="7">
    <w:name w:val="Document Map"/>
    <w:basedOn w:val="1"/>
    <w:link w:val="28"/>
    <w:qFormat/>
    <w:uiPriority w:val="99"/>
    <w:rPr>
      <w:rFonts w:ascii="宋体"/>
      <w:sz w:val="18"/>
      <w:szCs w:val="18"/>
    </w:rPr>
  </w:style>
  <w:style w:type="paragraph" w:styleId="8">
    <w:name w:val="Date"/>
    <w:basedOn w:val="1"/>
    <w:next w:val="1"/>
    <w:link w:val="37"/>
    <w:qFormat/>
    <w:uiPriority w:val="99"/>
    <w:pPr>
      <w:ind w:left="100" w:leftChars="2500"/>
    </w:pPr>
  </w:style>
  <w:style w:type="paragraph" w:styleId="9">
    <w:name w:val="Balloon Text"/>
    <w:basedOn w:val="1"/>
    <w:link w:val="36"/>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4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5">
    <w:name w:val="page number"/>
    <w:basedOn w:val="14"/>
    <w:qFormat/>
    <w:uiPriority w:val="99"/>
    <w:rPr>
      <w:rFonts w:cs="Times New Roman"/>
    </w:rPr>
  </w:style>
  <w:style w:type="character" w:styleId="16">
    <w:name w:val="FollowedHyperlink"/>
    <w:basedOn w:val="14"/>
    <w:qFormat/>
    <w:uiPriority w:val="0"/>
    <w:rPr>
      <w:color w:val="434343"/>
      <w:u w:val="none"/>
    </w:rPr>
  </w:style>
  <w:style w:type="character" w:styleId="17">
    <w:name w:val="Emphasis"/>
    <w:basedOn w:val="14"/>
    <w:qFormat/>
    <w:uiPriority w:val="20"/>
  </w:style>
  <w:style w:type="character" w:styleId="18">
    <w:name w:val="HTML Definition"/>
    <w:basedOn w:val="14"/>
    <w:qFormat/>
    <w:uiPriority w:val="0"/>
  </w:style>
  <w:style w:type="character" w:styleId="19">
    <w:name w:val="HTML Acronym"/>
    <w:basedOn w:val="14"/>
    <w:qFormat/>
    <w:uiPriority w:val="0"/>
  </w:style>
  <w:style w:type="character" w:styleId="20">
    <w:name w:val="HTML Variable"/>
    <w:basedOn w:val="14"/>
    <w:qFormat/>
    <w:uiPriority w:val="0"/>
  </w:style>
  <w:style w:type="character" w:styleId="21">
    <w:name w:val="Hyperlink"/>
    <w:basedOn w:val="14"/>
    <w:qFormat/>
    <w:uiPriority w:val="0"/>
    <w:rPr>
      <w:color w:val="434343"/>
      <w:u w:val="none"/>
    </w:rPr>
  </w:style>
  <w:style w:type="character" w:styleId="22">
    <w:name w:val="HTML Code"/>
    <w:basedOn w:val="14"/>
    <w:qFormat/>
    <w:uiPriority w:val="0"/>
    <w:rPr>
      <w:rFonts w:hint="eastAsia" w:ascii="微软雅黑" w:hAnsi="微软雅黑" w:eastAsia="微软雅黑" w:cs="微软雅黑"/>
      <w:sz w:val="18"/>
      <w:szCs w:val="18"/>
    </w:rPr>
  </w:style>
  <w:style w:type="character" w:styleId="23">
    <w:name w:val="annotation reference"/>
    <w:basedOn w:val="14"/>
    <w:qFormat/>
    <w:uiPriority w:val="99"/>
    <w:rPr>
      <w:rFonts w:cs="Times New Roman"/>
      <w:sz w:val="21"/>
      <w:szCs w:val="21"/>
    </w:rPr>
  </w:style>
  <w:style w:type="character" w:styleId="24">
    <w:name w:val="HTML Cite"/>
    <w:basedOn w:val="14"/>
    <w:qFormat/>
    <w:uiPriority w:val="0"/>
  </w:style>
  <w:style w:type="character" w:customStyle="1" w:styleId="26">
    <w:name w:val="标题 1 Char"/>
    <w:basedOn w:val="14"/>
    <w:link w:val="3"/>
    <w:qFormat/>
    <w:uiPriority w:val="99"/>
    <w:rPr>
      <w:rFonts w:ascii="黑体" w:hAnsi="黑体" w:eastAsia="黑体" w:cs="Times New Roman"/>
      <w:sz w:val="32"/>
      <w:szCs w:val="32"/>
    </w:rPr>
  </w:style>
  <w:style w:type="character" w:customStyle="1" w:styleId="27">
    <w:name w:val="标题 2 Char"/>
    <w:basedOn w:val="14"/>
    <w:link w:val="4"/>
    <w:qFormat/>
    <w:uiPriority w:val="99"/>
    <w:rPr>
      <w:rFonts w:ascii="仿宋" w:hAnsi="仿宋" w:eastAsia="仿宋" w:cs="Times New Roman"/>
      <w:b/>
      <w:sz w:val="32"/>
      <w:szCs w:val="32"/>
    </w:rPr>
  </w:style>
  <w:style w:type="character" w:customStyle="1" w:styleId="28">
    <w:name w:val="文档结构图 Char"/>
    <w:basedOn w:val="14"/>
    <w:link w:val="7"/>
    <w:qFormat/>
    <w:uiPriority w:val="99"/>
    <w:rPr>
      <w:rFonts w:ascii="宋体" w:eastAsia="宋体" w:cs="Times New Roman"/>
      <w:sz w:val="18"/>
      <w:szCs w:val="18"/>
    </w:rPr>
  </w:style>
  <w:style w:type="character" w:customStyle="1" w:styleId="29">
    <w:name w:val="页脚 Char"/>
    <w:basedOn w:val="14"/>
    <w:link w:val="10"/>
    <w:qFormat/>
    <w:uiPriority w:val="99"/>
    <w:rPr>
      <w:rFonts w:cs="Times New Roman"/>
      <w:sz w:val="18"/>
      <w:szCs w:val="18"/>
    </w:rPr>
  </w:style>
  <w:style w:type="character" w:customStyle="1" w:styleId="30">
    <w:name w:val="页眉 Char"/>
    <w:basedOn w:val="14"/>
    <w:link w:val="11"/>
    <w:qFormat/>
    <w:uiPriority w:val="99"/>
    <w:rPr>
      <w:rFonts w:cs="Times New Roman"/>
      <w:sz w:val="18"/>
      <w:szCs w:val="18"/>
    </w:rPr>
  </w:style>
  <w:style w:type="paragraph" w:customStyle="1" w:styleId="31">
    <w:name w:val="List Paragraph1"/>
    <w:basedOn w:val="1"/>
    <w:qFormat/>
    <w:uiPriority w:val="99"/>
    <w:pPr>
      <w:ind w:firstLine="420" w:firstLineChars="200"/>
    </w:pPr>
  </w:style>
  <w:style w:type="paragraph" w:customStyle="1" w:styleId="32">
    <w:name w:val="列出段落1"/>
    <w:basedOn w:val="1"/>
    <w:qFormat/>
    <w:uiPriority w:val="99"/>
    <w:pPr>
      <w:ind w:firstLine="420" w:firstLineChars="200"/>
    </w:pPr>
    <w:rPr>
      <w:rFonts w:ascii="Times New Roman" w:hAnsi="Times New Roman" w:cs="Times New Roman"/>
      <w:szCs w:val="20"/>
    </w:rPr>
  </w:style>
  <w:style w:type="paragraph" w:customStyle="1" w:styleId="33">
    <w:name w:val="p0"/>
    <w:basedOn w:val="1"/>
    <w:qFormat/>
    <w:uiPriority w:val="99"/>
    <w:pPr>
      <w:widowControl/>
    </w:pPr>
    <w:rPr>
      <w:rFonts w:cs="宋体"/>
      <w:kern w:val="0"/>
      <w:szCs w:val="21"/>
    </w:rPr>
  </w:style>
  <w:style w:type="character" w:customStyle="1" w:styleId="34">
    <w:name w:val="批注文字 Char"/>
    <w:basedOn w:val="14"/>
    <w:link w:val="6"/>
    <w:qFormat/>
    <w:uiPriority w:val="99"/>
    <w:rPr>
      <w:rFonts w:ascii="Calibri" w:hAnsi="Calibri" w:cs="黑体"/>
    </w:rPr>
  </w:style>
  <w:style w:type="character" w:customStyle="1" w:styleId="35">
    <w:name w:val="批注主题 Char"/>
    <w:basedOn w:val="34"/>
    <w:link w:val="5"/>
    <w:qFormat/>
    <w:uiPriority w:val="99"/>
    <w:rPr>
      <w:rFonts w:ascii="Calibri" w:hAnsi="Calibri" w:cs="黑体"/>
      <w:b/>
      <w:bCs/>
    </w:rPr>
  </w:style>
  <w:style w:type="character" w:customStyle="1" w:styleId="36">
    <w:name w:val="批注框文本 Char"/>
    <w:basedOn w:val="14"/>
    <w:link w:val="9"/>
    <w:qFormat/>
    <w:uiPriority w:val="99"/>
    <w:rPr>
      <w:rFonts w:ascii="Calibri" w:hAnsi="Calibri" w:cs="黑体"/>
      <w:sz w:val="2"/>
    </w:rPr>
  </w:style>
  <w:style w:type="character" w:customStyle="1" w:styleId="37">
    <w:name w:val="日期 Char"/>
    <w:basedOn w:val="14"/>
    <w:link w:val="8"/>
    <w:qFormat/>
    <w:uiPriority w:val="99"/>
    <w:rPr>
      <w:rFonts w:ascii="Calibri" w:hAnsi="Calibri" w:cs="黑体"/>
    </w:rPr>
  </w:style>
  <w:style w:type="character" w:customStyle="1" w:styleId="38">
    <w:name w:val="sx"/>
    <w:basedOn w:val="14"/>
    <w:qFormat/>
    <w:uiPriority w:val="0"/>
  </w:style>
  <w:style w:type="character" w:customStyle="1" w:styleId="39">
    <w:name w:val="hj-easyread-speakerprocesser-position-action-icon"/>
    <w:basedOn w:val="14"/>
    <w:qFormat/>
    <w:uiPriority w:val="0"/>
  </w:style>
  <w:style w:type="character" w:customStyle="1" w:styleId="40">
    <w:name w:val="HTML 预设格式 Char"/>
    <w:basedOn w:val="14"/>
    <w:link w:val="12"/>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466</Words>
  <Characters>2662</Characters>
  <Lines>22</Lines>
  <Paragraphs>6</Paragraphs>
  <TotalTime>0</TotalTime>
  <ScaleCrop>false</ScaleCrop>
  <LinksUpToDate>false</LinksUpToDate>
  <CharactersWithSpaces>3122</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2020-04-08T06:01:00Z</dcterms:created>
  <dc:creator>林泽</dc:creator>
  <cp:lastModifiedBy>admin</cp:lastModifiedBy>
  <cp:lastPrinted>2019-04-25T08:52:00Z</cp:lastPrinted>
  <dcterms:modified xsi:type="dcterms:W3CDTF">2021-05-10T09:21:51Z</dcterms:modified>
  <dc:title>京经信委发〔2016〕 号</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ies>
</file>