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第一、二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批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市级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中小企业服务示范平台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eastAsia="zh-CN"/>
        </w:rPr>
        <w:t>和小微企业双创示范基地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</w:rPr>
        <w:t>未通过复核名单</w:t>
      </w:r>
    </w:p>
    <w:tbl>
      <w:tblPr>
        <w:tblStyle w:val="7"/>
        <w:tblpPr w:leftFromText="180" w:rightFromText="180" w:vertAnchor="text" w:horzAnchor="page" w:tblpX="1807" w:tblpY="553"/>
        <w:tblOverlap w:val="never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1"/>
        <w:gridCol w:w="5688"/>
        <w:gridCol w:w="171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一、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北京市中小企业公共服务示范平台复评不通过名单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北京牡丹视源电子有限责任公司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北京中关村上地生物科技发展有限公司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智慧工匠（北京）科技有限公司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顺义区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北京东方汇佳人力资源咨询有限责任公司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西城区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大唐创新港投资（北京）有限公司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北京蓝天嘉城科技发展有限公司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朝阳区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北京宏泰智会科技服务有限公司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12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568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北京亦创智能机器人产业研究院有限公司</w:t>
            </w:r>
          </w:p>
        </w:tc>
        <w:tc>
          <w:tcPr>
            <w:tcW w:w="1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outlineLvl w:val="9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经济技术开发区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8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560" w:lineRule="exact"/>
              <w:jc w:val="both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二、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北京市小型微型企业创业创新示范基地复评不通过名单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6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所属区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中关村领创空间科技服务有限责任公司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海淀区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1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6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北京国投尚科信息技术有限公司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8"/>
                <w:szCs w:val="28"/>
              </w:rPr>
              <w:t>朝阳区</w:t>
            </w:r>
          </w:p>
        </w:tc>
      </w:tr>
    </w:tbl>
    <w:p>
      <w:pPr>
        <w:spacing w:line="560" w:lineRule="exact"/>
        <w:rPr>
          <w:rFonts w:ascii="黑体" w:hAnsi="黑体" w:eastAsia="黑体" w:cs="黑体"/>
          <w:sz w:val="32"/>
          <w:szCs w:val="32"/>
        </w:rPr>
      </w:pPr>
    </w:p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altName w:val="方正宋体S-超大字符集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思源黑体 CN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思源黑体 CN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A37"/>
    <w:rsid w:val="000C501A"/>
    <w:rsid w:val="006E5ABC"/>
    <w:rsid w:val="007215BA"/>
    <w:rsid w:val="00B22A37"/>
    <w:rsid w:val="0F5FC1C0"/>
    <w:rsid w:val="37FF9AED"/>
    <w:rsid w:val="3BBFFBA0"/>
    <w:rsid w:val="639BB162"/>
    <w:rsid w:val="7FF94F15"/>
    <w:rsid w:val="D6BE4B6D"/>
    <w:rsid w:val="ED5B9582"/>
    <w:rsid w:val="FFD08E92"/>
    <w:rsid w:val="FFE7F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  <w:style w:type="character" w:customStyle="1" w:styleId="8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8FAF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265</Words>
  <Characters>1512</Characters>
  <Lines>12</Lines>
  <Paragraphs>3</Paragraphs>
  <TotalTime>0</TotalTime>
  <ScaleCrop>false</ScaleCrop>
  <LinksUpToDate>false</LinksUpToDate>
  <CharactersWithSpaces>1774</CharactersWithSpaces>
  <Application>WPS Office_10.8.0.7041_F1E327BC-269C-435d-A152-05C5408002CA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2020-12-09T02:20:00Z</dcterms:created>
  <dc:creator>Windows 用户</dc:creator>
  <cp:lastModifiedBy>admin</cp:lastModifiedBy>
  <dcterms:modified xsi:type="dcterms:W3CDTF">2020-12-30T09:41:42Z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2052-10.8.0.7041</vt:lpwstr>
  </property>
</Properties>
</file>